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6C0AB6" w:rsidRDefault="006C0AB6" w:rsidP="005259DA">
      <w:pPr>
        <w:spacing w:line="256" w:lineRule="auto"/>
        <w:jc w:val="both"/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</w:pPr>
      <w:r>
        <w:rPr>
          <w:rFonts w:ascii="Calibri" w:eastAsia="Calibri" w:hAnsi="Calibri" w:cs="Times New Roman"/>
          <w:b/>
          <w:noProof/>
          <w:color w:val="373545" w:themeColor="text2"/>
          <w:sz w:val="28"/>
          <w:szCs w:val="28"/>
        </w:rPr>
        <w:drawing>
          <wp:inline distT="0" distB="0" distL="0" distR="0">
            <wp:extent cx="6359525" cy="8324409"/>
            <wp:effectExtent l="0" t="0" r="317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osteoporosis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896" cy="839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AB6" w:rsidRDefault="006C0AB6" w:rsidP="005259DA">
      <w:pPr>
        <w:spacing w:line="256" w:lineRule="auto"/>
        <w:jc w:val="both"/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</w:pPr>
    </w:p>
    <w:p w:rsidR="005259DA" w:rsidRPr="005259DA" w:rsidRDefault="005259DA" w:rsidP="005259DA">
      <w:pPr>
        <w:spacing w:line="256" w:lineRule="auto"/>
        <w:jc w:val="both"/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</w:pPr>
      <w:bookmarkStart w:id="0" w:name="_GoBack"/>
      <w:bookmarkEnd w:id="0"/>
      <w:r w:rsidRPr="005259DA"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  <w:lastRenderedPageBreak/>
        <w:t>ΠΑΡΑΓΟΝΤΕΣ ΚΙΝΔΥΝΟΥ:</w:t>
      </w:r>
    </w:p>
    <w:p w:rsidR="005259DA" w:rsidRPr="005259DA" w:rsidRDefault="005259DA" w:rsidP="005259DA">
      <w:pPr>
        <w:numPr>
          <w:ilvl w:val="0"/>
          <w:numId w:val="1"/>
        </w:numPr>
        <w:spacing w:line="256" w:lineRule="auto"/>
        <w:contextualSpacing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  <w:t xml:space="preserve">Ηλικία: </w:t>
      </w: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 xml:space="preserve">Αύξηση της συχνότητας των καταγμάτων του ισχίου μετά την ηλικία των 70 ετών, καθώς και των σπονδυλικών καταγμάτων μετά την ηλικία των 50 ετών στις γυναίκες. </w:t>
      </w:r>
    </w:p>
    <w:p w:rsidR="005259DA" w:rsidRPr="005259DA" w:rsidRDefault="005259DA" w:rsidP="005259DA">
      <w:pPr>
        <w:numPr>
          <w:ilvl w:val="0"/>
          <w:numId w:val="1"/>
        </w:numPr>
        <w:spacing w:line="256" w:lineRule="auto"/>
        <w:contextualSpacing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  <w:t xml:space="preserve">Φύλο: </w:t>
      </w: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Η επίπτωση εμφανίζεται ιδιαίτερα αυξημένη τα πρώτα μετεμμηνοπαυσιακά χρόνια στις γυναίκες. Στους άνδρες αυξημένη επίπτωση συμβαίνει μετά τα 65 έτη.</w:t>
      </w:r>
    </w:p>
    <w:p w:rsidR="005259DA" w:rsidRPr="005259DA" w:rsidRDefault="005259DA" w:rsidP="005259DA">
      <w:pPr>
        <w:numPr>
          <w:ilvl w:val="0"/>
          <w:numId w:val="1"/>
        </w:numPr>
        <w:spacing w:line="256" w:lineRule="auto"/>
        <w:contextualSpacing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  <w:t xml:space="preserve">Δείκτης μάζας σώματος (BMI): </w:t>
      </w: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Αυξημένος κίνδυνος κατάγματος σε άτομα με δείκτη &lt;20 (&gt;10% πιθανότητα κατάγματος ισχίου στα επόμενα 10 χρόνια για γυναίκες 65 ετών).</w:t>
      </w:r>
    </w:p>
    <w:p w:rsidR="005259DA" w:rsidRPr="005259DA" w:rsidRDefault="005259DA" w:rsidP="005259DA">
      <w:pPr>
        <w:numPr>
          <w:ilvl w:val="0"/>
          <w:numId w:val="1"/>
        </w:numPr>
        <w:spacing w:line="256" w:lineRule="auto"/>
        <w:contextualSpacing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  <w:t xml:space="preserve">Προηγούμενο κάταγμα χαμηλής βίας: </w:t>
      </w: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ο ιστορικό ενός οποιουδήποτε κατάγματος χαμηλής ενέργειας (πτώση από ύψος ορθίου ή χαμηλότερο) αυξάνει τον κίνδυνο για επόμενο κάταγμα.</w:t>
      </w:r>
    </w:p>
    <w:p w:rsidR="005259DA" w:rsidRPr="005259DA" w:rsidRDefault="005259DA" w:rsidP="005259DA">
      <w:pPr>
        <w:numPr>
          <w:ilvl w:val="0"/>
          <w:numId w:val="1"/>
        </w:numPr>
        <w:spacing w:line="256" w:lineRule="auto"/>
        <w:contextualSpacing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  <w:t xml:space="preserve">Ιστορικό κατάγματος ισχίου γονέως: </w:t>
      </w: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Ασχέτως φύλου, το ιστορικό κατάγματος ισχίου των γονέων αυξάνει τον κίνδυνο για κάθε οστεοπορωτικό κάταγμα κατά 17% κατά μέσο όρο, αλλά και κατά 49% τον κίνδυνο ειδικά για κάταγμα ισχίου, ιδίως αν το κάταγμα συνέβη στην μητέρα της ελεγχομένης σε ηλικία &lt;80 ετών (κίνδυνος μεγαλύτερος του 50%).</w:t>
      </w:r>
    </w:p>
    <w:p w:rsidR="005259DA" w:rsidRPr="005259DA" w:rsidRDefault="005259DA" w:rsidP="005259DA">
      <w:pPr>
        <w:numPr>
          <w:ilvl w:val="0"/>
          <w:numId w:val="1"/>
        </w:numPr>
        <w:spacing w:line="256" w:lineRule="auto"/>
        <w:contextualSpacing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  <w:t xml:space="preserve">Αγωγή με κορτικοειδή. </w:t>
      </w: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 xml:space="preserve">Οριοθετούνται ως δόση τα </w:t>
      </w:r>
      <w:r w:rsidRPr="005259DA">
        <w:rPr>
          <w:rFonts w:ascii="Calibri" w:eastAsia="Calibri" w:hAnsi="Calibri" w:cs="Calibri"/>
          <w:color w:val="292733" w:themeColor="text2" w:themeShade="BF"/>
          <w:sz w:val="28"/>
          <w:szCs w:val="28"/>
        </w:rPr>
        <w:t>≥</w:t>
      </w: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 xml:space="preserve">5 mg πρεδνιζολόνης /ημέρα και ως χρόνος αγωγής </w:t>
      </w:r>
      <w:r w:rsidRPr="005259DA">
        <w:rPr>
          <w:rFonts w:ascii="Calibri" w:eastAsia="Calibri" w:hAnsi="Calibri" w:cs="Calibri"/>
          <w:color w:val="292733" w:themeColor="text2" w:themeShade="BF"/>
          <w:sz w:val="28"/>
          <w:szCs w:val="28"/>
        </w:rPr>
        <w:t>≥</w:t>
      </w: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3 μήνες.</w:t>
      </w:r>
    </w:p>
    <w:p w:rsidR="005259DA" w:rsidRPr="005259DA" w:rsidRDefault="005259DA" w:rsidP="005259DA">
      <w:pPr>
        <w:numPr>
          <w:ilvl w:val="0"/>
          <w:numId w:val="1"/>
        </w:numPr>
        <w:spacing w:line="256" w:lineRule="auto"/>
        <w:contextualSpacing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  <w:t xml:space="preserve">Ενεργό κάπνισμα: </w:t>
      </w: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Οι εν ενεργεία καπνιστές υφίστανται διαταραχή του φυσιολογικού ρυθμού οστικού μεταβολισμού.</w:t>
      </w:r>
    </w:p>
    <w:p w:rsidR="005259DA" w:rsidRPr="005259DA" w:rsidRDefault="005259DA" w:rsidP="005259DA">
      <w:pPr>
        <w:numPr>
          <w:ilvl w:val="0"/>
          <w:numId w:val="1"/>
        </w:numPr>
        <w:spacing w:line="256" w:lineRule="auto"/>
        <w:contextualSpacing/>
        <w:jc w:val="both"/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  <w:t xml:space="preserve">Κατάχρηση οινοπνεύματος: </w:t>
      </w: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Αυξημένη επίπτωση καταγμάτων σε όσους καταναλώνουν τρεις μονάδες (30 gr καθαρού οινοπνεύματος) ή περισσότερες /ημέρα.</w:t>
      </w:r>
    </w:p>
    <w:p w:rsidR="005259DA" w:rsidRPr="005259DA" w:rsidRDefault="005259DA" w:rsidP="005259DA">
      <w:pPr>
        <w:numPr>
          <w:ilvl w:val="0"/>
          <w:numId w:val="1"/>
        </w:numPr>
        <w:spacing w:line="256" w:lineRule="auto"/>
        <w:contextualSpacing/>
        <w:jc w:val="both"/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  <w:t xml:space="preserve">Δευτεροπαθής οστεοπόρωση: </w:t>
      </w: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Οφειλόμενη σε προϋπάρχοντα νοσήματα.</w:t>
      </w:r>
      <w:r w:rsidRPr="005259DA"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  <w:t xml:space="preserve">  </w:t>
      </w:r>
    </w:p>
    <w:p w:rsidR="005259DA" w:rsidRPr="005259DA" w:rsidRDefault="005259DA" w:rsidP="005259DA">
      <w:pPr>
        <w:numPr>
          <w:ilvl w:val="0"/>
          <w:numId w:val="1"/>
        </w:numPr>
        <w:spacing w:line="256" w:lineRule="auto"/>
        <w:contextualSpacing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  <w:t xml:space="preserve">Οστική πυκνότητα: </w:t>
      </w: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 xml:space="preserve">Σε ορισμένες περιπτώσεις ανακύπτουν προβλήματα ακριβείας και επαναληψιμότητος της μεθόδου.  </w:t>
      </w:r>
    </w:p>
    <w:p w:rsidR="005259DA" w:rsidRPr="005259DA" w:rsidRDefault="005259DA" w:rsidP="005259DA">
      <w:pPr>
        <w:numPr>
          <w:ilvl w:val="0"/>
          <w:numId w:val="1"/>
        </w:numPr>
        <w:spacing w:line="256" w:lineRule="auto"/>
        <w:contextualSpacing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  <w:t xml:space="preserve">Πτώσεις: </w:t>
      </w: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Η συχνότητα των πτώσεων είναι παράγοντας που προδιαθέτει σε κατάγματα.</w:t>
      </w:r>
    </w:p>
    <w:p w:rsidR="005259DA" w:rsidRPr="005259DA" w:rsidRDefault="005259DA" w:rsidP="005259DA">
      <w:pPr>
        <w:spacing w:line="256" w:lineRule="auto"/>
        <w:jc w:val="both"/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  <w:t xml:space="preserve">ΔΙΑΓΝΩΣΗ: </w:t>
      </w: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Εργαστηριακός έλεγχος που περιλαμβάνει αιματολογικές, βιοχημικές και ορμονικές εξετάσεις. Απεικονιστικός έλεγχος με μέτρηση της οστικής πυκνότητας. Η απεικόνιση πρέπει να διενεργείται στις ακόλουθες περιπτώσεις:</w:t>
      </w:r>
    </w:p>
    <w:p w:rsidR="005259DA" w:rsidRPr="005259DA" w:rsidRDefault="005259DA" w:rsidP="005259DA">
      <w:pPr>
        <w:numPr>
          <w:ilvl w:val="0"/>
          <w:numId w:val="2"/>
        </w:numPr>
        <w:spacing w:line="256" w:lineRule="auto"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Στις όλες τις γυναίκες άνω των 65, είτε εμφανίζουν είτε όχι παράγοντες κινδύνου</w:t>
      </w:r>
    </w:p>
    <w:p w:rsidR="005259DA" w:rsidRPr="005259DA" w:rsidRDefault="005259DA" w:rsidP="005259DA">
      <w:pPr>
        <w:numPr>
          <w:ilvl w:val="0"/>
          <w:numId w:val="2"/>
        </w:numPr>
        <w:spacing w:line="256" w:lineRule="auto"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Σε γυναίκες και άνδρες που λαμβάνουν κορτιζόνη για μεγάλο χρονικό διάστημα</w:t>
      </w:r>
    </w:p>
    <w:p w:rsidR="005259DA" w:rsidRPr="005259DA" w:rsidRDefault="005259DA" w:rsidP="005259DA">
      <w:pPr>
        <w:numPr>
          <w:ilvl w:val="0"/>
          <w:numId w:val="2"/>
        </w:numPr>
        <w:spacing w:line="256" w:lineRule="auto"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lastRenderedPageBreak/>
        <w:t>Σε ασθενείς με παραμόρφωση σπονδύλων</w:t>
      </w:r>
    </w:p>
    <w:p w:rsidR="005259DA" w:rsidRPr="005259DA" w:rsidRDefault="005259DA" w:rsidP="005259DA">
      <w:pPr>
        <w:numPr>
          <w:ilvl w:val="0"/>
          <w:numId w:val="2"/>
        </w:numPr>
        <w:spacing w:line="256" w:lineRule="auto"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Σε ασθενείς που έχουν υποστεί κάταγμα</w:t>
      </w:r>
    </w:p>
    <w:p w:rsidR="005259DA" w:rsidRPr="005259DA" w:rsidRDefault="005259DA" w:rsidP="005259DA">
      <w:pPr>
        <w:numPr>
          <w:ilvl w:val="0"/>
          <w:numId w:val="2"/>
        </w:numPr>
        <w:spacing w:line="256" w:lineRule="auto"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Σε όλους όσους βρίσκονται ήδη σε θεραπεία για οστεοπόρωση, προκειμένου να αξιολογηθούν τα αποτελέσματα</w:t>
      </w:r>
    </w:p>
    <w:p w:rsidR="005259DA" w:rsidRPr="005259DA" w:rsidRDefault="005259DA" w:rsidP="005259DA">
      <w:pPr>
        <w:spacing w:line="256" w:lineRule="auto"/>
        <w:jc w:val="both"/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  <w:t>ΑΝΤΙΜΕΤΩΠΙΣΗ:</w:t>
      </w:r>
    </w:p>
    <w:p w:rsidR="005259DA" w:rsidRPr="005259DA" w:rsidRDefault="005259DA" w:rsidP="005259DA">
      <w:pPr>
        <w:spacing w:line="256" w:lineRule="auto"/>
        <w:jc w:val="both"/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  <w:t>Α. ΦΑΡΜΑΚΕΥΤΙΚΗ (εξατομικευμένη)</w:t>
      </w:r>
    </w:p>
    <w:p w:rsidR="005259DA" w:rsidRPr="005259DA" w:rsidRDefault="005259DA" w:rsidP="005259DA">
      <w:pPr>
        <w:spacing w:line="256" w:lineRule="auto"/>
        <w:jc w:val="both"/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</w:rPr>
        <w:t>Β. ΜΗ ΦΑΡΜΑΚΕΥΤΙΚΉ</w:t>
      </w:r>
    </w:p>
    <w:p w:rsidR="005259DA" w:rsidRPr="005259DA" w:rsidRDefault="005259DA" w:rsidP="005259DA">
      <w:pPr>
        <w:spacing w:line="256" w:lineRule="auto"/>
        <w:jc w:val="both"/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  <w:u w:val="single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  <w:u w:val="single"/>
        </w:rPr>
        <w:t>Άσκηση</w:t>
      </w:r>
    </w:p>
    <w:p w:rsidR="005259DA" w:rsidRPr="005259DA" w:rsidRDefault="005259DA" w:rsidP="005259DA">
      <w:pPr>
        <w:numPr>
          <w:ilvl w:val="0"/>
          <w:numId w:val="3"/>
        </w:numPr>
        <w:spacing w:line="256" w:lineRule="auto"/>
        <w:jc w:val="both"/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  <w:u w:val="single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 xml:space="preserve">Η επίδραση της άσκησης στην οστική πυκνότητα είναι περιοχικά εξειδικευμένη. </w:t>
      </w:r>
    </w:p>
    <w:p w:rsidR="005259DA" w:rsidRPr="005259DA" w:rsidRDefault="005259DA" w:rsidP="005259DA">
      <w:pPr>
        <w:numPr>
          <w:ilvl w:val="0"/>
          <w:numId w:val="3"/>
        </w:numPr>
        <w:spacing w:line="256" w:lineRule="auto"/>
        <w:jc w:val="both"/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  <w:u w:val="single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Η αεροβική άσκηση, υψηλής έντασης, είναι αποτελεσματική στη μείωση της απώλειας οστικής πυκνότητας στη Σ.Σ. και στον καρπό.</w:t>
      </w:r>
    </w:p>
    <w:p w:rsidR="005259DA" w:rsidRPr="005259DA" w:rsidRDefault="005259DA" w:rsidP="005259DA">
      <w:pPr>
        <w:numPr>
          <w:ilvl w:val="0"/>
          <w:numId w:val="3"/>
        </w:numPr>
        <w:spacing w:line="256" w:lineRule="auto"/>
        <w:jc w:val="both"/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  <w:u w:val="single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Οι ασκήσεις μυϊκής ενδυνάμωσης είναι αποτελεσματικές στη μείωση της οστικής απώλειας, η δε αύξηση της μυϊκής δύναμης σχετίζεται με την περιοχική αύξηση της οστικής πυκνότητας και διατηρείται για μικρό έως μέτριας χρονικής διάρκειας διάστημα.</w:t>
      </w:r>
    </w:p>
    <w:p w:rsidR="005259DA" w:rsidRPr="005259DA" w:rsidRDefault="005259DA" w:rsidP="005259DA">
      <w:pPr>
        <w:numPr>
          <w:ilvl w:val="0"/>
          <w:numId w:val="3"/>
        </w:numPr>
        <w:spacing w:line="256" w:lineRule="auto"/>
        <w:jc w:val="both"/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  <w:u w:val="single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Οι ασκήσεις που βελτιώνουν την ισορροπία είναι αποτελεσματικές σε πληθυσμιακές ομάδες με μεγαλύτερο κίνδυνο πτώσης.</w:t>
      </w:r>
    </w:p>
    <w:p w:rsidR="005259DA" w:rsidRPr="005259DA" w:rsidRDefault="005259DA" w:rsidP="005259DA">
      <w:pPr>
        <w:spacing w:line="256" w:lineRule="auto"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  <w:u w:val="single"/>
        </w:rPr>
        <w:t>Πτώσεις</w:t>
      </w:r>
    </w:p>
    <w:p w:rsidR="005259DA" w:rsidRPr="005259DA" w:rsidRDefault="005259DA" w:rsidP="005259DA">
      <w:pPr>
        <w:numPr>
          <w:ilvl w:val="0"/>
          <w:numId w:val="4"/>
        </w:numPr>
        <w:spacing w:line="256" w:lineRule="auto"/>
        <w:jc w:val="both"/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  <w:u w:val="single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 xml:space="preserve">Άνθρωποι οι οποίοι έχουν επαναλαμβανόμενες πτώσεις θα πρέπει να πραγματοποιούν φυσική άσκηση επί μακρό χρονικό διάστημα και εξάσκηση της ισορροπίας. Δίδονται συμβουλές για την κατάλληλη χρήση των βοηθημάτων.  </w:t>
      </w:r>
    </w:p>
    <w:p w:rsidR="005259DA" w:rsidRPr="005259DA" w:rsidRDefault="005259DA" w:rsidP="005259DA">
      <w:pPr>
        <w:numPr>
          <w:ilvl w:val="0"/>
          <w:numId w:val="4"/>
        </w:numPr>
        <w:spacing w:line="256" w:lineRule="auto"/>
        <w:jc w:val="both"/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  <w:u w:val="single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 xml:space="preserve">Επανεξέταση - τροποποίηση της φαρμακευτικής αγωγής, ιδιαίτερα ψυχοτρόπων φαρμάκων </w:t>
      </w:r>
    </w:p>
    <w:p w:rsidR="005259DA" w:rsidRPr="005259DA" w:rsidRDefault="005259DA" w:rsidP="005259DA">
      <w:pPr>
        <w:numPr>
          <w:ilvl w:val="0"/>
          <w:numId w:val="4"/>
        </w:numPr>
        <w:spacing w:line="256" w:lineRule="auto"/>
        <w:jc w:val="both"/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  <w:u w:val="single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 xml:space="preserve">Θεραπεία της ορθοστατικής υπότασης. </w:t>
      </w:r>
    </w:p>
    <w:p w:rsidR="005259DA" w:rsidRPr="005259DA" w:rsidRDefault="005259DA" w:rsidP="005259DA">
      <w:pPr>
        <w:numPr>
          <w:ilvl w:val="0"/>
          <w:numId w:val="4"/>
        </w:numPr>
        <w:spacing w:line="256" w:lineRule="auto"/>
        <w:jc w:val="both"/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  <w:u w:val="single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 xml:space="preserve">Τροποποίηση των περιβαλλοντικών κινδύνων. </w:t>
      </w:r>
    </w:p>
    <w:p w:rsidR="005259DA" w:rsidRPr="005259DA" w:rsidRDefault="005259DA" w:rsidP="005259DA">
      <w:pPr>
        <w:numPr>
          <w:ilvl w:val="0"/>
          <w:numId w:val="4"/>
        </w:numPr>
        <w:spacing w:line="256" w:lineRule="auto"/>
        <w:jc w:val="both"/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  <w:u w:val="single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Θεραπεία των καρδιαγγειακών παθήσεων.</w:t>
      </w:r>
    </w:p>
    <w:p w:rsidR="005259DA" w:rsidRPr="005259DA" w:rsidRDefault="005259DA" w:rsidP="005259DA">
      <w:pPr>
        <w:numPr>
          <w:ilvl w:val="0"/>
          <w:numId w:val="4"/>
        </w:numPr>
        <w:spacing w:line="256" w:lineRule="auto"/>
        <w:jc w:val="both"/>
        <w:rPr>
          <w:rFonts w:ascii="Calibri" w:eastAsia="Calibri" w:hAnsi="Calibri" w:cs="Times New Roman"/>
          <w:b/>
          <w:color w:val="292733" w:themeColor="text2" w:themeShade="BF"/>
          <w:sz w:val="28"/>
          <w:szCs w:val="28"/>
          <w:u w:val="single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Η συμπληρωματική χορήγηση βιταμίνης D μειώνει τις πτώσεις.</w:t>
      </w:r>
    </w:p>
    <w:p w:rsidR="005259DA" w:rsidRPr="005259DA" w:rsidRDefault="005259DA" w:rsidP="005259DA">
      <w:pPr>
        <w:spacing w:line="256" w:lineRule="auto"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  <w:u w:val="single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  <w:u w:val="single"/>
        </w:rPr>
        <w:t>Διαιτητικές οδηγίες</w:t>
      </w:r>
    </w:p>
    <w:p w:rsidR="005259DA" w:rsidRPr="005259DA" w:rsidRDefault="005259DA" w:rsidP="005259DA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lastRenderedPageBreak/>
        <w:t xml:space="preserve">Οι ημερήσιες συνιστώμενες διαιτητικές προσλήψεις για το ασβέστιο είναι: - παιδιά (4-8 ετών): 1000 mg/ημέρα, - έφηβοι (9-18 ετών): 1300 mg/ημέρα, - προεμμηνοπαυσιακές γυναίκες έως 50 ετών: 1000 mg/ημέρα, - μετεμμηνοπαυσιακές γυναίκες ή γυναίκες άνω των 50 ετών: 1200 mg/ ημέρα, - άνδρες ενήλικοι έως και 70 ετών: 1.000 mg/ημέρα, - άνδρες μεγαλύτεροι από την ηλικία των 70 ετών: 1200 mg/ημέρα, - έγκυες/θηλάζουσες άνω των 18 ετών:1.000 mg/ημέρα. </w:t>
      </w:r>
    </w:p>
    <w:p w:rsidR="005259DA" w:rsidRPr="005259DA" w:rsidRDefault="005259DA" w:rsidP="005259DA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Οι ημερήσιες συνιστώμενες προσλήψεις για τη βιταμίνη D είναι: - για άνδρες και γυναίκες έως και 70 ετών: 600 ΙU (15 μg)/ημέρα - για άνδρες και γυναίκες &gt;70 ετών: ≥800 ΙU (20 μg)/ημέρα</w:t>
      </w:r>
    </w:p>
    <w:p w:rsidR="005259DA" w:rsidRPr="005259DA" w:rsidRDefault="005259DA" w:rsidP="005259DA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 xml:space="preserve">Ο λόγος του προσλαμβανόμενου ασβεστίου/φωσφόρου πρέπει ιδανικά να είναι 1:1 </w:t>
      </w:r>
    </w:p>
    <w:p w:rsidR="005259DA" w:rsidRPr="005259DA" w:rsidRDefault="005259DA" w:rsidP="005259DA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 xml:space="preserve">Η πρόσληψη πρωτεϊνών πρέπει να κυμαίνεται στο 1-1,2 γρ./κιλό σωματικού βάρους (ΣB) και να μην πέφτει κάτω από τα 0,8 γρ./κιλό ΣΒ </w:t>
      </w:r>
    </w:p>
    <w:p w:rsidR="005259DA" w:rsidRPr="005259DA" w:rsidRDefault="005259DA" w:rsidP="005259DA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 xml:space="preserve">Δεν υπάρχουν ενδείξεις υπέρ της συμπληρωματικής χορήγησης απαραίτητων λιπαρών οξέων για την πρόληψη ή τη θεραπευτική αντιμετώπιση της οστεοπενίας και της οστεοπόρωσης </w:t>
      </w:r>
    </w:p>
    <w:p w:rsidR="005259DA" w:rsidRPr="005259DA" w:rsidRDefault="005259DA" w:rsidP="005259DA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Η συμπληρωματική χορήγηση βιταμίνης Κ, παράλληλα με ασβέστιο και βιταμίνη D συμβάλλει στη μείωση της οστικής απώλειας και την αύξηση της οστικής πυκνότητας, ενώ σε κλινικές μελέτες στην Ιαπωνία έχει συσχετιστεί και με μείωση του καταγματικού κινδύνου</w:t>
      </w:r>
    </w:p>
    <w:p w:rsidR="005259DA" w:rsidRPr="005259DA" w:rsidRDefault="005259DA" w:rsidP="005259DA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Πρόσληψη νατρίου &gt;2.100 mg/ημέρα καλό είναι να αποφεύγεται ιδιαίτερα από μετεμμηνοπαυσιακές γυναίκες</w:t>
      </w:r>
    </w:p>
    <w:p w:rsidR="005259DA" w:rsidRPr="005259DA" w:rsidRDefault="005259DA" w:rsidP="005259DA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Αυξημένη (&gt;2 φλιτζάνια/ ημέρα) πρόσληψη καφέ αυξάνει τον κίνδυνο καταγμάτων στις γυναίκες</w:t>
      </w:r>
    </w:p>
    <w:p w:rsidR="005259DA" w:rsidRPr="005259DA" w:rsidRDefault="005259DA" w:rsidP="005259DA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color w:val="292733" w:themeColor="text2" w:themeShade="BF"/>
          <w:sz w:val="28"/>
          <w:szCs w:val="28"/>
        </w:rPr>
        <w:t>Συγκριτικά με τη μη κατανάλωση, κατανάλωση έως 1 ποτού/ημέρα, σχετίζεται με χαμηλότερο κίνδυνο καταγμάτων, ενώ κατανάλωση &gt;2 ποτά ημερησίως συσχετίζεται με αύξηση του καταγματικού κινδύνου.</w:t>
      </w:r>
    </w:p>
    <w:p w:rsidR="005259DA" w:rsidRPr="005259DA" w:rsidRDefault="005259DA" w:rsidP="005259DA">
      <w:pPr>
        <w:spacing w:line="256" w:lineRule="auto"/>
        <w:jc w:val="both"/>
        <w:rPr>
          <w:rFonts w:ascii="Calibri" w:eastAsia="Calibri" w:hAnsi="Calibri" w:cs="Times New Roman"/>
          <w:b/>
          <w:bCs/>
          <w:color w:val="292733" w:themeColor="text2" w:themeShade="BF"/>
          <w:sz w:val="28"/>
          <w:szCs w:val="28"/>
        </w:rPr>
      </w:pPr>
    </w:p>
    <w:p w:rsidR="005259DA" w:rsidRPr="005259DA" w:rsidRDefault="005259DA" w:rsidP="005259DA">
      <w:pPr>
        <w:spacing w:line="256" w:lineRule="auto"/>
        <w:jc w:val="both"/>
        <w:rPr>
          <w:rFonts w:ascii="Calibri" w:eastAsia="Calibri" w:hAnsi="Calibri" w:cs="Times New Roman"/>
          <w:b/>
          <w:bCs/>
          <w:color w:val="292733" w:themeColor="text2" w:themeShade="BF"/>
          <w:sz w:val="28"/>
          <w:szCs w:val="28"/>
        </w:rPr>
      </w:pPr>
      <w:r w:rsidRPr="005259DA">
        <w:rPr>
          <w:rFonts w:ascii="Calibri" w:eastAsia="Calibri" w:hAnsi="Calibri" w:cs="Times New Roman"/>
          <w:noProof/>
          <w:color w:val="292733" w:themeColor="text2" w:themeShade="BF"/>
        </w:rPr>
        <w:lastRenderedPageBreak/>
        <w:t xml:space="preserve">                             </w:t>
      </w:r>
      <w:r w:rsidRPr="005259DA">
        <w:rPr>
          <w:rFonts w:ascii="Calibri" w:eastAsia="Calibri" w:hAnsi="Calibri" w:cs="Times New Roman"/>
          <w:noProof/>
          <w:color w:val="292733" w:themeColor="text2" w:themeShade="BF"/>
        </w:rPr>
        <w:drawing>
          <wp:inline distT="0" distB="0" distL="0" distR="0" wp14:anchorId="084346CC" wp14:editId="66E4F508">
            <wp:extent cx="3943350" cy="17716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DA" w:rsidRPr="005259DA" w:rsidRDefault="005259DA" w:rsidP="005259DA">
      <w:pPr>
        <w:spacing w:line="256" w:lineRule="auto"/>
        <w:jc w:val="both"/>
        <w:rPr>
          <w:rFonts w:ascii="Calibri" w:eastAsia="Calibri" w:hAnsi="Calibri" w:cs="Times New Roman"/>
          <w:b/>
          <w:bCs/>
          <w:color w:val="292733" w:themeColor="text2" w:themeShade="BF"/>
          <w:sz w:val="28"/>
          <w:szCs w:val="28"/>
        </w:rPr>
      </w:pPr>
    </w:p>
    <w:p w:rsidR="005259DA" w:rsidRPr="005259DA" w:rsidRDefault="005259DA" w:rsidP="005259DA">
      <w:pPr>
        <w:spacing w:line="256" w:lineRule="auto"/>
        <w:jc w:val="both"/>
        <w:rPr>
          <w:rFonts w:ascii="Calibri" w:eastAsia="Calibri" w:hAnsi="Calibri" w:cs="Times New Roman"/>
          <w:b/>
          <w:bCs/>
          <w:color w:val="292733" w:themeColor="text2" w:themeShade="BF"/>
          <w:sz w:val="28"/>
          <w:szCs w:val="28"/>
        </w:rPr>
      </w:pPr>
    </w:p>
    <w:p w:rsidR="005259DA" w:rsidRPr="005259DA" w:rsidRDefault="005259DA" w:rsidP="005259DA">
      <w:pPr>
        <w:spacing w:line="256" w:lineRule="auto"/>
        <w:jc w:val="both"/>
        <w:rPr>
          <w:rFonts w:ascii="Calibri" w:eastAsia="Calibri" w:hAnsi="Calibri" w:cs="Times New Roman"/>
          <w:b/>
          <w:bCs/>
          <w:color w:val="292733" w:themeColor="text2" w:themeShade="BF"/>
          <w:sz w:val="24"/>
          <w:szCs w:val="24"/>
        </w:rPr>
      </w:pPr>
      <w:r w:rsidRPr="005259DA">
        <w:rPr>
          <w:rFonts w:ascii="Calibri" w:eastAsia="Calibri" w:hAnsi="Calibri" w:cs="Times New Roman"/>
          <w:b/>
          <w:bCs/>
          <w:color w:val="292733" w:themeColor="text2" w:themeShade="BF"/>
          <w:sz w:val="24"/>
          <w:szCs w:val="24"/>
        </w:rPr>
        <w:t>Πηγή: Ελληνικό Ίδρυμα Οστεοπόρωσης (ΕΛΙΟΣ) «Κατευθυντήριες γραμμές για τη διάγνωση &amp; αντιμετώπιση της οστεοπόρωσης στην Ελλάδα»</w:t>
      </w:r>
    </w:p>
    <w:p w:rsidR="005259DA" w:rsidRPr="005259DA" w:rsidRDefault="005259DA" w:rsidP="005259DA">
      <w:pPr>
        <w:spacing w:line="256" w:lineRule="auto"/>
        <w:jc w:val="both"/>
        <w:rPr>
          <w:rFonts w:ascii="Calibri" w:eastAsia="Calibri" w:hAnsi="Calibri" w:cs="Times New Roman"/>
          <w:color w:val="292733" w:themeColor="text2" w:themeShade="BF"/>
          <w:sz w:val="24"/>
          <w:szCs w:val="24"/>
        </w:rPr>
      </w:pPr>
    </w:p>
    <w:p w:rsidR="00BB768C" w:rsidRPr="005259DA" w:rsidRDefault="006C0AB6" w:rsidP="005259DA">
      <w:pPr>
        <w:rPr>
          <w:color w:val="292733" w:themeColor="text2" w:themeShade="BF"/>
        </w:rPr>
      </w:pPr>
    </w:p>
    <w:sectPr w:rsidR="00BB768C" w:rsidRPr="005259DA" w:rsidSect="005259D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26D"/>
    <w:multiLevelType w:val="hybridMultilevel"/>
    <w:tmpl w:val="22E4E9B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A0359A"/>
    <w:multiLevelType w:val="hybridMultilevel"/>
    <w:tmpl w:val="88989C0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1B99"/>
    <w:multiLevelType w:val="hybridMultilevel"/>
    <w:tmpl w:val="FA043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A027F"/>
    <w:multiLevelType w:val="hybridMultilevel"/>
    <w:tmpl w:val="C7A8EFD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DC4595B"/>
    <w:multiLevelType w:val="multilevel"/>
    <w:tmpl w:val="A6A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DA"/>
    <w:rsid w:val="00203198"/>
    <w:rsid w:val="00220078"/>
    <w:rsid w:val="005259DA"/>
    <w:rsid w:val="006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c"/>
    </o:shapedefaults>
    <o:shapelayout v:ext="edit">
      <o:idmap v:ext="edit" data="1"/>
    </o:shapelayout>
  </w:shapeDefaults>
  <w:decimalSymbol w:val=","/>
  <w:listSeparator w:val=";"/>
  <w14:docId w14:val="37E83BC7"/>
  <w15:chartTrackingRefBased/>
  <w15:docId w15:val="{415FAF9F-9A42-4978-86EE-5C77EE36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ΓΡΑΜ ΔΗΜΑΡΧΟΥ</dc:creator>
  <cp:keywords/>
  <dc:description/>
  <cp:lastModifiedBy>ΧΡΗΣΤΗΣ ΓΡΑΜ ΔΗΜΑΡΧΟΥ</cp:lastModifiedBy>
  <cp:revision>2</cp:revision>
  <dcterms:created xsi:type="dcterms:W3CDTF">2020-10-21T08:01:00Z</dcterms:created>
  <dcterms:modified xsi:type="dcterms:W3CDTF">2020-10-21T08:01:00Z</dcterms:modified>
</cp:coreProperties>
</file>