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EEF" w:rsidRDefault="00930EEF" w:rsidP="00930EEF">
      <w:pPr>
        <w:spacing w:line="240" w:lineRule="auto"/>
        <w:jc w:val="center"/>
      </w:pPr>
      <w:r w:rsidRPr="008B06A3">
        <w:rPr>
          <w:noProof/>
          <w:lang w:eastAsia="el-GR"/>
        </w:rPr>
        <w:drawing>
          <wp:inline distT="0" distB="0" distL="0" distR="0" wp14:anchorId="2F423CD5" wp14:editId="1B247965">
            <wp:extent cx="3060000" cy="1205060"/>
            <wp:effectExtent l="0" t="0" r="0" b="0"/>
            <wp:docPr id="2" name="Εικόνα 2" descr="C:\Users\atheodorou\AppData\Local\Microsoft\Windows\INetCache\Content.Outlook\W1ZO4PM4\ESEE_LOGO_NEW-01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heodorou\AppData\Local\Microsoft\Windows\INetCache\Content.Outlook\W1ZO4PM4\ESEE_LOGO_NEW-01 (00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60000" cy="1205060"/>
                    </a:xfrm>
                    <a:prstGeom prst="rect">
                      <a:avLst/>
                    </a:prstGeom>
                    <a:noFill/>
                    <a:ln>
                      <a:noFill/>
                    </a:ln>
                  </pic:spPr>
                </pic:pic>
              </a:graphicData>
            </a:graphic>
          </wp:inline>
        </w:drawing>
      </w:r>
    </w:p>
    <w:p w:rsidR="00833007" w:rsidRDefault="00833007" w:rsidP="00833007">
      <w:pPr>
        <w:spacing w:line="240" w:lineRule="atLeast"/>
        <w:ind w:left="4320" w:firstLine="720"/>
        <w:jc w:val="both"/>
        <w:rPr>
          <w:rFonts w:cs="Times New Roman"/>
          <w:sz w:val="25"/>
          <w:szCs w:val="25"/>
        </w:rPr>
      </w:pPr>
      <w:r w:rsidRPr="00833007">
        <w:rPr>
          <w:rFonts w:cs="Times New Roman"/>
          <w:sz w:val="25"/>
          <w:szCs w:val="25"/>
        </w:rPr>
        <w:t>Αθήνα, 2 Απριλίου 2021</w:t>
      </w:r>
    </w:p>
    <w:p w:rsidR="00833007" w:rsidRPr="00833007" w:rsidRDefault="00833007" w:rsidP="00833007">
      <w:pPr>
        <w:spacing w:line="240" w:lineRule="atLeast"/>
        <w:ind w:left="4320" w:firstLine="720"/>
        <w:jc w:val="both"/>
        <w:rPr>
          <w:rFonts w:cs="Times New Roman"/>
          <w:sz w:val="25"/>
          <w:szCs w:val="25"/>
        </w:rPr>
      </w:pPr>
      <w:proofErr w:type="spellStart"/>
      <w:r>
        <w:rPr>
          <w:rFonts w:cs="Times New Roman"/>
          <w:sz w:val="25"/>
          <w:szCs w:val="25"/>
        </w:rPr>
        <w:t>Αρ</w:t>
      </w:r>
      <w:proofErr w:type="spellEnd"/>
      <w:r>
        <w:rPr>
          <w:rFonts w:cs="Times New Roman"/>
          <w:sz w:val="25"/>
          <w:szCs w:val="25"/>
        </w:rPr>
        <w:t xml:space="preserve">. </w:t>
      </w:r>
      <w:proofErr w:type="spellStart"/>
      <w:r>
        <w:rPr>
          <w:rFonts w:cs="Times New Roman"/>
          <w:sz w:val="25"/>
          <w:szCs w:val="25"/>
        </w:rPr>
        <w:t>πρωτ</w:t>
      </w:r>
      <w:proofErr w:type="spellEnd"/>
      <w:r w:rsidRPr="00833007">
        <w:rPr>
          <w:rFonts w:cs="Times New Roman"/>
          <w:sz w:val="25"/>
          <w:szCs w:val="25"/>
        </w:rPr>
        <w:t xml:space="preserve">: </w:t>
      </w:r>
      <w:r>
        <w:rPr>
          <w:rFonts w:cs="Times New Roman"/>
          <w:sz w:val="25"/>
          <w:szCs w:val="25"/>
        </w:rPr>
        <w:t>Γ.Α.</w:t>
      </w:r>
      <w:r w:rsidR="00F03B1B">
        <w:rPr>
          <w:rFonts w:cs="Times New Roman"/>
          <w:sz w:val="25"/>
          <w:szCs w:val="25"/>
        </w:rPr>
        <w:t xml:space="preserve"> 8407</w:t>
      </w:r>
    </w:p>
    <w:p w:rsidR="00833007" w:rsidRDefault="00833007" w:rsidP="00833007">
      <w:pPr>
        <w:spacing w:line="240" w:lineRule="atLeast"/>
        <w:jc w:val="both"/>
        <w:rPr>
          <w:rFonts w:cs="Times New Roman"/>
          <w:sz w:val="25"/>
          <w:szCs w:val="25"/>
        </w:rPr>
      </w:pPr>
      <w:r>
        <w:rPr>
          <w:rFonts w:cs="Times New Roman"/>
          <w:sz w:val="25"/>
          <w:szCs w:val="25"/>
        </w:rPr>
        <w:t>Προς</w:t>
      </w:r>
    </w:p>
    <w:p w:rsidR="00833007" w:rsidRPr="00A90408" w:rsidRDefault="00A90408" w:rsidP="00A90408">
      <w:pPr>
        <w:pStyle w:val="a4"/>
        <w:numPr>
          <w:ilvl w:val="0"/>
          <w:numId w:val="6"/>
        </w:numPr>
        <w:spacing w:line="240" w:lineRule="atLeast"/>
        <w:ind w:left="284" w:hanging="284"/>
        <w:jc w:val="both"/>
        <w:rPr>
          <w:rFonts w:cs="Times New Roman"/>
          <w:sz w:val="25"/>
          <w:szCs w:val="25"/>
        </w:rPr>
      </w:pPr>
      <w:r w:rsidRPr="00A90408">
        <w:rPr>
          <w:rFonts w:cs="Times New Roman"/>
          <w:sz w:val="25"/>
          <w:szCs w:val="25"/>
        </w:rPr>
        <w:t>Ομοσπονδίες-μέλη ΕΣΕΕ</w:t>
      </w:r>
    </w:p>
    <w:p w:rsidR="00A90408" w:rsidRPr="00A90408" w:rsidRDefault="00A90408" w:rsidP="00A90408">
      <w:pPr>
        <w:pStyle w:val="a4"/>
        <w:numPr>
          <w:ilvl w:val="0"/>
          <w:numId w:val="6"/>
        </w:numPr>
        <w:spacing w:line="240" w:lineRule="atLeast"/>
        <w:ind w:left="284" w:hanging="284"/>
        <w:jc w:val="both"/>
        <w:rPr>
          <w:rFonts w:cs="Times New Roman"/>
          <w:sz w:val="25"/>
          <w:szCs w:val="25"/>
        </w:rPr>
      </w:pPr>
      <w:r w:rsidRPr="00A90408">
        <w:rPr>
          <w:rFonts w:cs="Times New Roman"/>
          <w:sz w:val="25"/>
          <w:szCs w:val="25"/>
        </w:rPr>
        <w:t>Εμπορικούς Συλλόγους</w:t>
      </w:r>
    </w:p>
    <w:p w:rsidR="00A90408" w:rsidRPr="00A90408" w:rsidRDefault="00A90408" w:rsidP="00A90408">
      <w:pPr>
        <w:pStyle w:val="a4"/>
        <w:numPr>
          <w:ilvl w:val="0"/>
          <w:numId w:val="6"/>
        </w:numPr>
        <w:spacing w:line="240" w:lineRule="atLeast"/>
        <w:ind w:left="284" w:hanging="284"/>
        <w:jc w:val="both"/>
        <w:rPr>
          <w:rFonts w:cs="Times New Roman"/>
          <w:sz w:val="25"/>
          <w:szCs w:val="25"/>
        </w:rPr>
      </w:pPr>
      <w:r w:rsidRPr="00A90408">
        <w:rPr>
          <w:rFonts w:cs="Times New Roman"/>
          <w:sz w:val="25"/>
          <w:szCs w:val="25"/>
        </w:rPr>
        <w:t>Αντιπροσώπους</w:t>
      </w:r>
    </w:p>
    <w:p w:rsidR="00A90408" w:rsidRPr="00A90408" w:rsidRDefault="00A90408" w:rsidP="00A90408">
      <w:pPr>
        <w:pStyle w:val="a4"/>
        <w:spacing w:line="240" w:lineRule="atLeast"/>
        <w:ind w:left="284" w:hanging="284"/>
        <w:jc w:val="both"/>
        <w:rPr>
          <w:rFonts w:cs="Times New Roman"/>
          <w:sz w:val="25"/>
          <w:szCs w:val="25"/>
          <w:u w:val="single"/>
        </w:rPr>
      </w:pPr>
      <w:r w:rsidRPr="00A90408">
        <w:rPr>
          <w:rFonts w:cs="Times New Roman"/>
          <w:sz w:val="25"/>
          <w:szCs w:val="25"/>
          <w:u w:val="single"/>
        </w:rPr>
        <w:t>Έδρες τους</w:t>
      </w:r>
    </w:p>
    <w:p w:rsidR="00833007" w:rsidRPr="00833007" w:rsidRDefault="00833007" w:rsidP="00A90408">
      <w:pPr>
        <w:spacing w:line="240" w:lineRule="atLeast"/>
        <w:ind w:left="284" w:hanging="284"/>
        <w:jc w:val="both"/>
        <w:rPr>
          <w:rFonts w:cs="Times New Roman"/>
          <w:sz w:val="25"/>
          <w:szCs w:val="25"/>
        </w:rPr>
      </w:pPr>
    </w:p>
    <w:p w:rsidR="00833007" w:rsidRPr="00A449CE" w:rsidRDefault="00833007" w:rsidP="00833007">
      <w:pPr>
        <w:spacing w:line="240" w:lineRule="atLeast"/>
        <w:jc w:val="both"/>
        <w:rPr>
          <w:rFonts w:cs="Times New Roman"/>
          <w:b/>
          <w:sz w:val="25"/>
          <w:szCs w:val="25"/>
          <w:u w:val="single"/>
        </w:rPr>
      </w:pPr>
      <w:r w:rsidRPr="00A449CE">
        <w:rPr>
          <w:rFonts w:cs="Times New Roman"/>
          <w:b/>
          <w:sz w:val="25"/>
          <w:szCs w:val="25"/>
          <w:u w:val="single"/>
        </w:rPr>
        <w:t>Θέμα: Νέες ρυθμίσεις για δάνεια, επιταγές, οφειλές, α΄ κατοικία, μισθώσεις</w:t>
      </w:r>
    </w:p>
    <w:p w:rsidR="00833007" w:rsidRPr="00833007" w:rsidRDefault="00833007" w:rsidP="00833007">
      <w:pPr>
        <w:spacing w:line="240" w:lineRule="atLeast"/>
        <w:jc w:val="both"/>
        <w:rPr>
          <w:rFonts w:cs="Times New Roman"/>
          <w:b/>
          <w:sz w:val="25"/>
          <w:szCs w:val="25"/>
        </w:rPr>
      </w:pPr>
    </w:p>
    <w:p w:rsidR="00833007" w:rsidRPr="00833007" w:rsidRDefault="00833007" w:rsidP="00833007">
      <w:pPr>
        <w:spacing w:line="240" w:lineRule="atLeast"/>
        <w:jc w:val="both"/>
        <w:rPr>
          <w:rFonts w:cs="Times New Roman"/>
          <w:b/>
          <w:sz w:val="25"/>
          <w:szCs w:val="25"/>
        </w:rPr>
      </w:pPr>
      <w:r w:rsidRPr="00833007">
        <w:rPr>
          <w:rFonts w:cs="Times New Roman"/>
          <w:b/>
          <w:sz w:val="25"/>
          <w:szCs w:val="25"/>
        </w:rPr>
        <w:t>Κυρίες και Κύριοι,</w:t>
      </w:r>
    </w:p>
    <w:p w:rsidR="00833007" w:rsidRPr="00833007" w:rsidRDefault="00833007" w:rsidP="00833007">
      <w:pPr>
        <w:spacing w:line="240" w:lineRule="atLeast"/>
        <w:jc w:val="both"/>
        <w:rPr>
          <w:rFonts w:cs="Times New Roman"/>
          <w:sz w:val="25"/>
          <w:szCs w:val="25"/>
        </w:rPr>
      </w:pPr>
    </w:p>
    <w:p w:rsidR="00833007" w:rsidRPr="00833007" w:rsidRDefault="00833007" w:rsidP="00833007">
      <w:pPr>
        <w:spacing w:line="240" w:lineRule="atLeast"/>
        <w:jc w:val="both"/>
        <w:rPr>
          <w:rFonts w:cs="Times New Roman"/>
          <w:sz w:val="25"/>
          <w:szCs w:val="25"/>
        </w:rPr>
      </w:pPr>
      <w:r w:rsidRPr="00833007">
        <w:rPr>
          <w:rFonts w:cs="Times New Roman"/>
          <w:sz w:val="25"/>
          <w:szCs w:val="25"/>
        </w:rPr>
        <w:t>Δημοσιεύτηκε σήμερα στην Εφημερίδα της Κυβερνήσεως ο νέος νόμος 4790/2021 (ΦΕΚ 48</w:t>
      </w:r>
      <w:r w:rsidRPr="00833007">
        <w:rPr>
          <w:rFonts w:cs="Times New Roman"/>
          <w:sz w:val="25"/>
          <w:szCs w:val="25"/>
          <w:vertAlign w:val="superscript"/>
        </w:rPr>
        <w:t xml:space="preserve">Α </w:t>
      </w:r>
      <w:r w:rsidRPr="00833007">
        <w:rPr>
          <w:rFonts w:cs="Times New Roman"/>
          <w:sz w:val="25"/>
          <w:szCs w:val="25"/>
        </w:rPr>
        <w:t>– επισυνάπτεται στην παρούσα), ο οποίος περιέχει νέες διατάξεις για την καταπολέμηση των συνεπειών της πανδημίας, την κοινωνική προστασία και την ανάπτυξη, πολλές από τις οποίες αφορούν στο εμπόριο, ως ακολούθως:</w:t>
      </w:r>
    </w:p>
    <w:p w:rsidR="00833007" w:rsidRPr="00A449CE" w:rsidRDefault="00833007" w:rsidP="0026385C">
      <w:pPr>
        <w:spacing w:before="120" w:line="240" w:lineRule="atLeast"/>
        <w:jc w:val="both"/>
        <w:rPr>
          <w:rFonts w:cs="Times New Roman"/>
          <w:b/>
          <w:sz w:val="25"/>
          <w:szCs w:val="25"/>
          <w:u w:val="single"/>
        </w:rPr>
      </w:pPr>
      <w:r w:rsidRPr="00A449CE">
        <w:rPr>
          <w:rFonts w:cs="Times New Roman"/>
          <w:b/>
          <w:sz w:val="25"/>
          <w:szCs w:val="25"/>
          <w:u w:val="single"/>
        </w:rPr>
        <w:t>Άρθρα 64 έως 77 – «Γέφυρα 2»</w:t>
      </w:r>
    </w:p>
    <w:p w:rsidR="00833007" w:rsidRPr="00833007" w:rsidRDefault="00833007" w:rsidP="0026385C">
      <w:pPr>
        <w:spacing w:line="240" w:lineRule="atLeast"/>
        <w:jc w:val="both"/>
        <w:rPr>
          <w:rFonts w:cs="Times New Roman"/>
          <w:sz w:val="25"/>
          <w:szCs w:val="25"/>
        </w:rPr>
      </w:pPr>
      <w:r w:rsidRPr="00833007">
        <w:rPr>
          <w:rFonts w:cs="Times New Roman"/>
          <w:sz w:val="25"/>
          <w:szCs w:val="25"/>
        </w:rPr>
        <w:t>Εισάγεται νέο πρόγραμμα «Γέφυρα 2».  Όπως και στο πρώτο πρόγραμμα το Δημόσιο συνεισφέρει στην αποπληρωμή των ιδιωτικών επιχειρηματικών δανείων, επιδοτώντας τις δόσεις των δανείων για 8 μήνες.</w:t>
      </w:r>
    </w:p>
    <w:p w:rsidR="00833007" w:rsidRPr="00833007" w:rsidRDefault="00833007" w:rsidP="00833007">
      <w:pPr>
        <w:spacing w:line="240" w:lineRule="atLeast"/>
        <w:jc w:val="both"/>
        <w:rPr>
          <w:rFonts w:cs="Times New Roman"/>
          <w:sz w:val="25"/>
          <w:szCs w:val="25"/>
        </w:rPr>
      </w:pPr>
      <w:r w:rsidRPr="00833007">
        <w:rPr>
          <w:rFonts w:cs="Times New Roman"/>
          <w:sz w:val="25"/>
          <w:szCs w:val="25"/>
        </w:rPr>
        <w:t>Τα κύρια χαρακτηριστικά των νέων διατάξεων είναι:</w:t>
      </w:r>
    </w:p>
    <w:p w:rsidR="00833007" w:rsidRPr="00A90408" w:rsidRDefault="00833007" w:rsidP="00A90408">
      <w:pPr>
        <w:pStyle w:val="a4"/>
        <w:numPr>
          <w:ilvl w:val="0"/>
          <w:numId w:val="7"/>
        </w:numPr>
        <w:spacing w:line="240" w:lineRule="atLeast"/>
        <w:ind w:left="567" w:hanging="567"/>
        <w:jc w:val="both"/>
        <w:rPr>
          <w:rFonts w:cs="Times New Roman"/>
          <w:sz w:val="25"/>
          <w:szCs w:val="25"/>
        </w:rPr>
      </w:pPr>
      <w:r w:rsidRPr="00A90408">
        <w:rPr>
          <w:rFonts w:cs="Times New Roman"/>
          <w:sz w:val="25"/>
          <w:szCs w:val="25"/>
        </w:rPr>
        <w:t>Για ατομικές επιχειρήσεις, χωρίς προσωπικό - ανώτατα όρια: αναλόγως αν η επιχείρηση έχει εξυπηρετούμενο (πράσινο ή με καθυστέρηση έως 90 ημέρες), μη εξυπηρετούμενο (με καθυστέρηση άνω των 90 ημερών) ή καταγγελμένο δάνειο, πρέπει να έχει ανώτατο όριο: Τζίρου έως 57.000 € - 45.000 € &amp; 36.000 €</w:t>
      </w:r>
      <w:r w:rsidRPr="00A90408">
        <w:rPr>
          <w:rFonts w:cs="Times New Roman"/>
          <w:color w:val="44546A"/>
          <w:sz w:val="25"/>
          <w:szCs w:val="25"/>
        </w:rPr>
        <w:t xml:space="preserve"> </w:t>
      </w:r>
      <w:r w:rsidRPr="00A90408">
        <w:rPr>
          <w:rFonts w:cs="Times New Roman"/>
          <w:sz w:val="25"/>
          <w:szCs w:val="25"/>
        </w:rPr>
        <w:t>(έμμεσος υπολογισμός), καταθέσεων εσωτερικού/εξωτερικού έως 40.000 €  - 25.000 € &amp;  15.000 €</w:t>
      </w:r>
      <w:r w:rsidRPr="00A90408">
        <w:rPr>
          <w:rFonts w:cs="Times New Roman"/>
          <w:color w:val="44546A"/>
          <w:sz w:val="25"/>
          <w:szCs w:val="25"/>
        </w:rPr>
        <w:t xml:space="preserve">, </w:t>
      </w:r>
      <w:r w:rsidRPr="00A90408">
        <w:rPr>
          <w:rFonts w:cs="Times New Roman"/>
          <w:sz w:val="25"/>
          <w:szCs w:val="25"/>
        </w:rPr>
        <w:t xml:space="preserve">αξίας ακίνητης περιουσίας (μη υποθηκευμένης) έως 600.000 € - 500.000 € &amp; 280.000 € και οφειλών ανά πιστωτή έως 300.000 € - 250.000 € - 130.000 € αντίστοιχα. </w:t>
      </w:r>
    </w:p>
    <w:p w:rsidR="00833007" w:rsidRPr="00A90408" w:rsidRDefault="00833007" w:rsidP="00A90408">
      <w:pPr>
        <w:pStyle w:val="a4"/>
        <w:numPr>
          <w:ilvl w:val="0"/>
          <w:numId w:val="7"/>
        </w:numPr>
        <w:spacing w:line="240" w:lineRule="atLeast"/>
        <w:ind w:left="567" w:hanging="567"/>
        <w:jc w:val="both"/>
        <w:rPr>
          <w:rFonts w:cs="Times New Roman"/>
          <w:sz w:val="25"/>
          <w:szCs w:val="25"/>
        </w:rPr>
      </w:pPr>
      <w:r w:rsidRPr="00A90408">
        <w:rPr>
          <w:rFonts w:cs="Times New Roman"/>
          <w:sz w:val="25"/>
          <w:szCs w:val="25"/>
        </w:rPr>
        <w:t>Πολύ μικρή εταιρική</w:t>
      </w:r>
      <w:r w:rsidRPr="00A90408">
        <w:rPr>
          <w:rFonts w:cs="Times New Roman"/>
          <w:color w:val="5B9BD5"/>
          <w:sz w:val="25"/>
          <w:szCs w:val="25"/>
        </w:rPr>
        <w:t xml:space="preserve"> </w:t>
      </w:r>
      <w:r w:rsidRPr="00A90408">
        <w:rPr>
          <w:rFonts w:cs="Times New Roman"/>
          <w:sz w:val="25"/>
          <w:szCs w:val="25"/>
        </w:rPr>
        <w:t xml:space="preserve">ή ατομική επιχείρηση με 1 - 9 άτομα προσωπικό: Αναλόγως αν η επιχείρηση έχει εξυπηρετούμενο (πράσινο ή με καθυστέρηση έως 90 ημέρες), μη εξυπηρετούμενο (με καθυστέρηση άνω των 90 ημερών) ή καταγγελμένο δάνειο, πρέπει να έχει ανώτατο όριο: Τζίρου έως 2 εκ. €, καταθέσεων εσωτερικού/εξωτερικού έως 1 εκ. € - 850.000 € &amp; 550.000 € και αξίας ακίνητης περιουσίας (μη υποθηκευμένης) έως 2,5 εκ. € - 2,25 εκ. € &amp; 1,25 εκ. €, αντίστοιχα. </w:t>
      </w:r>
    </w:p>
    <w:p w:rsidR="00833007" w:rsidRPr="00A90408" w:rsidRDefault="00833007" w:rsidP="00A90408">
      <w:pPr>
        <w:pStyle w:val="a4"/>
        <w:numPr>
          <w:ilvl w:val="0"/>
          <w:numId w:val="7"/>
        </w:numPr>
        <w:spacing w:line="240" w:lineRule="atLeast"/>
        <w:ind w:left="567" w:hanging="567"/>
        <w:jc w:val="both"/>
        <w:rPr>
          <w:rFonts w:cs="Times New Roman"/>
          <w:sz w:val="25"/>
          <w:szCs w:val="25"/>
        </w:rPr>
      </w:pPr>
      <w:r w:rsidRPr="00A90408">
        <w:rPr>
          <w:rFonts w:cs="Times New Roman"/>
          <w:sz w:val="25"/>
          <w:szCs w:val="25"/>
        </w:rPr>
        <w:t>Μικρή επιχείρηση με 10 - 49 άτομα προσωπικό: Αναλόγως αν η επιχείρηση έχει εξυπηρετούμενο (πράσινο ή με καθυστέρηση έως 90 ημέρες), μη εξυπηρετούμενο (με καθυστέρηση άνω των 90 ημερών) ή καταγγελμένο δάνειο, πρέπει να έχει ανώτατο όριο: Τζίρου έως 10 εκ. €, Καταθέσεων εσωτερικού/εξωτερικού έως 5 εκ. €  - 4,25 εκ. € &amp; 2,75 εκ. € και αξίας ακίνητης περιουσίας (μη υποθηκευμένης) έως 10 εκ. €- 9 εκ. € &amp; 7 εκ. €, αντίστοιχα.</w:t>
      </w:r>
    </w:p>
    <w:p w:rsidR="00833007" w:rsidRPr="00833007" w:rsidRDefault="00833007" w:rsidP="00833007">
      <w:pPr>
        <w:spacing w:line="240" w:lineRule="atLeast"/>
        <w:jc w:val="both"/>
        <w:rPr>
          <w:rFonts w:cs="Times New Roman"/>
          <w:sz w:val="25"/>
          <w:szCs w:val="25"/>
        </w:rPr>
      </w:pPr>
      <w:r w:rsidRPr="00833007">
        <w:rPr>
          <w:rFonts w:cs="Times New Roman"/>
          <w:sz w:val="25"/>
          <w:szCs w:val="25"/>
        </w:rPr>
        <w:lastRenderedPageBreak/>
        <w:t> Η συνεισφορά του Δημοσίου:</w:t>
      </w:r>
    </w:p>
    <w:p w:rsidR="00833007" w:rsidRPr="00833007" w:rsidRDefault="00833007" w:rsidP="00833007">
      <w:pPr>
        <w:numPr>
          <w:ilvl w:val="0"/>
          <w:numId w:val="5"/>
        </w:numPr>
        <w:spacing w:line="240" w:lineRule="atLeast"/>
        <w:contextualSpacing/>
        <w:jc w:val="both"/>
        <w:rPr>
          <w:rFonts w:cs="Times New Roman"/>
          <w:sz w:val="25"/>
          <w:szCs w:val="25"/>
        </w:rPr>
      </w:pPr>
      <w:r w:rsidRPr="00833007">
        <w:rPr>
          <w:rFonts w:cs="Times New Roman"/>
          <w:sz w:val="25"/>
          <w:szCs w:val="25"/>
        </w:rPr>
        <w:t>Αποτελεί ποσοστό επί της μηνιαίας δόσης.</w:t>
      </w:r>
    </w:p>
    <w:p w:rsidR="00833007" w:rsidRPr="00833007" w:rsidRDefault="00833007" w:rsidP="00833007">
      <w:pPr>
        <w:numPr>
          <w:ilvl w:val="0"/>
          <w:numId w:val="5"/>
        </w:numPr>
        <w:spacing w:line="240" w:lineRule="atLeast"/>
        <w:contextualSpacing/>
        <w:jc w:val="both"/>
        <w:rPr>
          <w:rFonts w:cs="Times New Roman"/>
          <w:sz w:val="25"/>
          <w:szCs w:val="25"/>
        </w:rPr>
      </w:pPr>
      <w:r w:rsidRPr="00833007">
        <w:rPr>
          <w:rFonts w:cs="Times New Roman"/>
          <w:sz w:val="25"/>
          <w:szCs w:val="25"/>
        </w:rPr>
        <w:t>Δεν απαιτεί φορολογική ή ασφαλιστική ενημερότητα.</w:t>
      </w:r>
    </w:p>
    <w:p w:rsidR="00833007" w:rsidRPr="00833007" w:rsidRDefault="00833007" w:rsidP="00833007">
      <w:pPr>
        <w:numPr>
          <w:ilvl w:val="0"/>
          <w:numId w:val="5"/>
        </w:numPr>
        <w:spacing w:line="240" w:lineRule="atLeast"/>
        <w:contextualSpacing/>
        <w:jc w:val="both"/>
        <w:rPr>
          <w:rFonts w:cs="Times New Roman"/>
          <w:sz w:val="25"/>
          <w:szCs w:val="25"/>
        </w:rPr>
      </w:pPr>
      <w:r w:rsidRPr="00833007">
        <w:rPr>
          <w:rFonts w:cs="Times New Roman"/>
          <w:sz w:val="25"/>
          <w:szCs w:val="25"/>
        </w:rPr>
        <w:t>Δεν κατάσχεται ούτε συμψηφίζεται.</w:t>
      </w:r>
    </w:p>
    <w:p w:rsidR="00833007" w:rsidRPr="00833007" w:rsidRDefault="00833007" w:rsidP="00833007">
      <w:pPr>
        <w:numPr>
          <w:ilvl w:val="0"/>
          <w:numId w:val="5"/>
        </w:numPr>
        <w:spacing w:line="240" w:lineRule="atLeast"/>
        <w:contextualSpacing/>
        <w:jc w:val="both"/>
        <w:rPr>
          <w:rFonts w:cs="Times New Roman"/>
          <w:sz w:val="25"/>
          <w:szCs w:val="25"/>
        </w:rPr>
      </w:pPr>
      <w:r w:rsidRPr="00833007">
        <w:rPr>
          <w:rFonts w:cs="Times New Roman"/>
          <w:sz w:val="25"/>
          <w:szCs w:val="25"/>
        </w:rPr>
        <w:t>Μπορεί να ενταχθεί στο Πρόγραμμα Δημοσίων Επενδύσεων. </w:t>
      </w:r>
    </w:p>
    <w:p w:rsidR="00A90408" w:rsidRDefault="00A90408" w:rsidP="00833007">
      <w:pPr>
        <w:spacing w:line="240" w:lineRule="atLeast"/>
        <w:jc w:val="both"/>
        <w:rPr>
          <w:rFonts w:cs="Times New Roman"/>
          <w:b/>
          <w:sz w:val="25"/>
          <w:szCs w:val="25"/>
        </w:rPr>
      </w:pPr>
    </w:p>
    <w:p w:rsidR="00833007" w:rsidRPr="00A449CE" w:rsidRDefault="00833007" w:rsidP="00833007">
      <w:pPr>
        <w:spacing w:line="240" w:lineRule="atLeast"/>
        <w:jc w:val="both"/>
        <w:rPr>
          <w:rFonts w:cs="Times New Roman"/>
          <w:b/>
          <w:sz w:val="25"/>
          <w:szCs w:val="25"/>
          <w:u w:val="single"/>
        </w:rPr>
      </w:pPr>
      <w:r w:rsidRPr="00A449CE">
        <w:rPr>
          <w:rFonts w:cs="Times New Roman"/>
          <w:b/>
          <w:sz w:val="25"/>
          <w:szCs w:val="25"/>
          <w:u w:val="single"/>
        </w:rPr>
        <w:t>Άρθρο 78 – Παρατάσεις για τις επιταγές</w:t>
      </w:r>
    </w:p>
    <w:p w:rsidR="00833007" w:rsidRPr="00833007" w:rsidRDefault="00833007" w:rsidP="00833007">
      <w:pPr>
        <w:spacing w:line="240" w:lineRule="atLeast"/>
        <w:jc w:val="both"/>
        <w:rPr>
          <w:rFonts w:cs="Times New Roman"/>
          <w:sz w:val="25"/>
          <w:szCs w:val="25"/>
        </w:rPr>
      </w:pPr>
      <w:r w:rsidRPr="00833007">
        <w:rPr>
          <w:rFonts w:cs="Times New Roman"/>
          <w:sz w:val="25"/>
          <w:szCs w:val="25"/>
        </w:rPr>
        <w:t>Με τις εισαγόμενες διατάξεις του άρθρου 78, οι προστατευτικές διατάξεις για τις επιταγές μπορούν να ομαδοποιηθούν σε τρεις υποπεριπτώσεις:</w:t>
      </w:r>
    </w:p>
    <w:p w:rsidR="00833007" w:rsidRPr="00833007" w:rsidRDefault="00833007" w:rsidP="00833007">
      <w:pPr>
        <w:spacing w:line="240" w:lineRule="atLeast"/>
        <w:jc w:val="both"/>
        <w:rPr>
          <w:rFonts w:cs="Times New Roman"/>
          <w:sz w:val="25"/>
          <w:szCs w:val="25"/>
          <w:u w:val="single"/>
        </w:rPr>
      </w:pPr>
      <w:r w:rsidRPr="00833007">
        <w:rPr>
          <w:rFonts w:cs="Times New Roman"/>
          <w:sz w:val="25"/>
          <w:szCs w:val="25"/>
          <w:u w:val="single"/>
        </w:rPr>
        <w:t>Επιταγές που λήγουν από 1 Απριλίου 2021 μέχρι 30 Απριλίου 2021</w:t>
      </w:r>
    </w:p>
    <w:p w:rsidR="00833007" w:rsidRPr="00833007" w:rsidRDefault="00833007" w:rsidP="00833007">
      <w:pPr>
        <w:spacing w:line="240" w:lineRule="atLeast"/>
        <w:jc w:val="both"/>
        <w:rPr>
          <w:rFonts w:cs="Times New Roman"/>
          <w:sz w:val="25"/>
          <w:szCs w:val="25"/>
        </w:rPr>
      </w:pPr>
      <w:r w:rsidRPr="00833007">
        <w:rPr>
          <w:rFonts w:cs="Times New Roman"/>
          <w:sz w:val="25"/>
          <w:szCs w:val="25"/>
        </w:rPr>
        <w:t xml:space="preserve">Για τις επιταγές των επιχειρήσεων που έχουν κλείσει με κρατική εντολή ή χαρακτηρίζονται ως </w:t>
      </w:r>
      <w:proofErr w:type="spellStart"/>
      <w:r w:rsidRPr="00833007">
        <w:rPr>
          <w:rFonts w:cs="Times New Roman"/>
          <w:sz w:val="25"/>
          <w:szCs w:val="25"/>
        </w:rPr>
        <w:t>πληττόμενες</w:t>
      </w:r>
      <w:proofErr w:type="spellEnd"/>
      <w:r w:rsidRPr="00833007">
        <w:rPr>
          <w:rFonts w:cs="Times New Roman"/>
          <w:sz w:val="25"/>
          <w:szCs w:val="25"/>
        </w:rPr>
        <w:t xml:space="preserve"> και λήγουν μέσα στον Απρίλιο, αναστέλλεται για 30 ημέρες (από την αναγραφόμενη ημερομηνία) η λήξη, εμφάνιση, σφράγιση και πληρωμή τους.  Ειδικά για τις </w:t>
      </w:r>
      <w:proofErr w:type="spellStart"/>
      <w:r w:rsidRPr="00833007">
        <w:rPr>
          <w:rFonts w:cs="Times New Roman"/>
          <w:sz w:val="25"/>
          <w:szCs w:val="25"/>
        </w:rPr>
        <w:t>πληττόμενες</w:t>
      </w:r>
      <w:proofErr w:type="spellEnd"/>
      <w:r w:rsidRPr="00833007">
        <w:rPr>
          <w:rFonts w:cs="Times New Roman"/>
          <w:sz w:val="25"/>
          <w:szCs w:val="25"/>
        </w:rPr>
        <w:t xml:space="preserve"> επιχειρήσεις ισχύει το γνωστό κριτήριο του μειωμένου κύκλου εργασιώ</w:t>
      </w:r>
      <w:bookmarkStart w:id="0" w:name="_GoBack"/>
      <w:bookmarkEnd w:id="0"/>
      <w:r w:rsidRPr="00833007">
        <w:rPr>
          <w:rFonts w:cs="Times New Roman"/>
          <w:sz w:val="25"/>
          <w:szCs w:val="25"/>
        </w:rPr>
        <w:t>ν κατά το διάστημα Οκτωβρίου - Δεκεμβρίου του έτους 2020 σε ποσοστό μεγαλύτερο του 40% σε σχέση με τον κύκλο εργασιών του αντίστοιχου διαστήματος του 2019.  Παράλληλα, προβλέπεται εκ νέου η διαδικασία ανάρτησης των επιταγών εντός 6 εργασίμων ημερών από την έκδοση της προβλεπόμενης Υπουργικής Απόφασης που θα καθορίσει τους ευνοούμενους ΚΑΔ.  Μέχρι την έκδοση αυτής της Υπουργικής Απόφασης, όσες επιταγές σφραγιστούν, δεν θα αναγγέλλονται στον Τειρεσία και τα αποτελέσματα της σφράγισης δεν θα ισχύσουν, εφόσον οι επιταγές εξοφληθούν μέσα σε 60 ημέρες από την λήξη ή την σφράγισή τους.</w:t>
      </w:r>
    </w:p>
    <w:p w:rsidR="00833007" w:rsidRPr="00833007" w:rsidRDefault="00833007" w:rsidP="00833007">
      <w:pPr>
        <w:spacing w:line="240" w:lineRule="atLeast"/>
        <w:jc w:val="both"/>
        <w:rPr>
          <w:rFonts w:cs="Times New Roman"/>
          <w:sz w:val="25"/>
          <w:szCs w:val="25"/>
          <w:u w:val="single"/>
        </w:rPr>
      </w:pPr>
      <w:r w:rsidRPr="00833007">
        <w:rPr>
          <w:rFonts w:cs="Times New Roman"/>
          <w:sz w:val="25"/>
          <w:szCs w:val="25"/>
          <w:u w:val="single"/>
        </w:rPr>
        <w:t>Επιταγές λήξης 18 Νοεμβρίου – 31 Δεκεμβρίου 2020</w:t>
      </w:r>
    </w:p>
    <w:p w:rsidR="00833007" w:rsidRPr="00833007" w:rsidRDefault="00833007" w:rsidP="00833007">
      <w:pPr>
        <w:spacing w:line="240" w:lineRule="atLeast"/>
        <w:jc w:val="both"/>
        <w:rPr>
          <w:rFonts w:cs="Times New Roman"/>
          <w:sz w:val="25"/>
          <w:szCs w:val="25"/>
        </w:rPr>
      </w:pPr>
      <w:r w:rsidRPr="00833007">
        <w:rPr>
          <w:rFonts w:cs="Times New Roman"/>
          <w:sz w:val="25"/>
          <w:szCs w:val="25"/>
        </w:rPr>
        <w:t>Για τις συγκεκριμένες επιταγές, στις αρχικές παρατάσεις των 75 ημερών (άρθρο 35 ν. 4753/2020) και 45 ημερών (άρθρο 28 ν. 4772/2021), έρχονται να προστεθούν και άλλες 30 ημέρες, φτάνοντας συνολικό διάστημα παράτασης 5 μηνών.</w:t>
      </w:r>
    </w:p>
    <w:p w:rsidR="00833007" w:rsidRPr="00833007" w:rsidRDefault="00833007" w:rsidP="00833007">
      <w:pPr>
        <w:spacing w:line="240" w:lineRule="atLeast"/>
        <w:jc w:val="both"/>
        <w:rPr>
          <w:rFonts w:cs="Times New Roman"/>
          <w:sz w:val="25"/>
          <w:szCs w:val="25"/>
          <w:u w:val="single"/>
        </w:rPr>
      </w:pPr>
      <w:r w:rsidRPr="00833007">
        <w:rPr>
          <w:rFonts w:cs="Times New Roman"/>
          <w:sz w:val="25"/>
          <w:szCs w:val="25"/>
          <w:u w:val="single"/>
        </w:rPr>
        <w:t>Επιταγές λήξης Ιανουαρίου – Μαρτίου 2021</w:t>
      </w:r>
    </w:p>
    <w:p w:rsidR="00833007" w:rsidRPr="00833007" w:rsidRDefault="00833007" w:rsidP="00833007">
      <w:pPr>
        <w:spacing w:line="240" w:lineRule="atLeast"/>
        <w:jc w:val="both"/>
        <w:rPr>
          <w:rFonts w:cs="Times New Roman"/>
          <w:sz w:val="25"/>
          <w:szCs w:val="25"/>
        </w:rPr>
      </w:pPr>
      <w:r w:rsidRPr="00833007">
        <w:rPr>
          <w:rFonts w:cs="Times New Roman"/>
          <w:sz w:val="25"/>
          <w:szCs w:val="25"/>
        </w:rPr>
        <w:t>Στις αρχικές παρατάσεις των 75 ημερών (άρθρο 28 του ν. 4772/2021) έρχονται να προστεθούν επιπλέον 30 ημέρες, φτάνοντας συνολικό διάστημα παράτασης 3 μηνών και 15 ημερών.</w:t>
      </w:r>
    </w:p>
    <w:p w:rsidR="00833007" w:rsidRPr="00833007" w:rsidRDefault="00833007" w:rsidP="00A90408">
      <w:pPr>
        <w:spacing w:before="120" w:line="240" w:lineRule="atLeast"/>
        <w:jc w:val="both"/>
        <w:rPr>
          <w:rFonts w:cs="Times New Roman"/>
          <w:b/>
          <w:sz w:val="25"/>
          <w:szCs w:val="25"/>
          <w:u w:val="single"/>
        </w:rPr>
      </w:pPr>
      <w:r w:rsidRPr="00833007">
        <w:rPr>
          <w:rFonts w:cs="Times New Roman"/>
          <w:b/>
          <w:sz w:val="25"/>
          <w:szCs w:val="25"/>
          <w:u w:val="single"/>
        </w:rPr>
        <w:t xml:space="preserve">Άρθρο 86 – Αναστολή πλειστηριασμών πρώτης κατοικίας για όσους έχουν πληγεί από τον </w:t>
      </w:r>
      <w:proofErr w:type="spellStart"/>
      <w:r w:rsidRPr="00833007">
        <w:rPr>
          <w:rFonts w:cs="Times New Roman"/>
          <w:b/>
          <w:sz w:val="25"/>
          <w:szCs w:val="25"/>
          <w:u w:val="single"/>
        </w:rPr>
        <w:t>κορωνοϊό</w:t>
      </w:r>
      <w:proofErr w:type="spellEnd"/>
    </w:p>
    <w:p w:rsidR="00833007" w:rsidRPr="00833007" w:rsidRDefault="00833007" w:rsidP="00833007">
      <w:pPr>
        <w:spacing w:line="240" w:lineRule="atLeast"/>
        <w:jc w:val="both"/>
        <w:rPr>
          <w:rFonts w:cs="Times New Roman"/>
          <w:sz w:val="25"/>
          <w:szCs w:val="25"/>
        </w:rPr>
      </w:pPr>
      <w:r w:rsidRPr="00833007">
        <w:rPr>
          <w:rFonts w:cs="Times New Roman"/>
          <w:sz w:val="25"/>
          <w:szCs w:val="25"/>
        </w:rPr>
        <w:t>Αναστέλλονται μέχρι 31 Μαΐου 2021, οι κατασχέσεις και οι πλειστηριασμοί ακινήτων που χαρακτηρίζονται ως κύρια κατοικία, για τους οικονομικά πληγέντες από τις δυσμενείς συνέπειες της πανδημίας.</w:t>
      </w:r>
    </w:p>
    <w:p w:rsidR="00833007" w:rsidRPr="00833007" w:rsidRDefault="00833007" w:rsidP="00A90408">
      <w:pPr>
        <w:spacing w:before="120" w:line="240" w:lineRule="atLeast"/>
        <w:jc w:val="both"/>
        <w:rPr>
          <w:rFonts w:cs="Times New Roman"/>
          <w:b/>
          <w:sz w:val="25"/>
          <w:szCs w:val="25"/>
          <w:u w:val="single"/>
        </w:rPr>
      </w:pPr>
      <w:r w:rsidRPr="00833007">
        <w:rPr>
          <w:rFonts w:cs="Times New Roman"/>
          <w:b/>
          <w:sz w:val="25"/>
          <w:szCs w:val="25"/>
          <w:u w:val="single"/>
        </w:rPr>
        <w:t>Άρθρο 89 – Παράταση ηλεκτρονικής διεξαγωγής ΓΣ – αρχαιρεσιών</w:t>
      </w:r>
    </w:p>
    <w:p w:rsidR="00833007" w:rsidRPr="00833007" w:rsidRDefault="00833007" w:rsidP="00833007">
      <w:pPr>
        <w:spacing w:line="240" w:lineRule="atLeast"/>
        <w:jc w:val="both"/>
        <w:rPr>
          <w:rFonts w:cs="Times New Roman"/>
          <w:sz w:val="25"/>
          <w:szCs w:val="25"/>
        </w:rPr>
      </w:pPr>
      <w:r w:rsidRPr="00833007">
        <w:rPr>
          <w:rFonts w:cs="Times New Roman"/>
          <w:sz w:val="25"/>
          <w:szCs w:val="25"/>
        </w:rPr>
        <w:t>Παρατείνεται μέχρι 30 Ιουνίου το δικαίωμα όλων των σωματείων (με ρητή πλέον αναφορά στον ν. 1712/1987) να πραγματοποιούν Γενικές Συνελεύσεις με τηλεδιάσκεψη και αρχαιρεσίες με ηλεκτρονική ψηφοφορία.</w:t>
      </w:r>
    </w:p>
    <w:p w:rsidR="00833007" w:rsidRPr="00833007" w:rsidRDefault="00833007" w:rsidP="00A90408">
      <w:pPr>
        <w:spacing w:before="120" w:line="240" w:lineRule="atLeast"/>
        <w:jc w:val="both"/>
        <w:rPr>
          <w:rFonts w:cs="Times New Roman"/>
          <w:b/>
          <w:sz w:val="25"/>
          <w:szCs w:val="25"/>
          <w:u w:val="single"/>
        </w:rPr>
      </w:pPr>
      <w:r w:rsidRPr="00833007">
        <w:rPr>
          <w:rFonts w:cs="Times New Roman"/>
          <w:b/>
          <w:sz w:val="25"/>
          <w:szCs w:val="25"/>
          <w:u w:val="single"/>
        </w:rPr>
        <w:t>Άρθρο 105 – Παράταση του ΣΥΝ-ΕΡΓΑΣΙΑ</w:t>
      </w:r>
    </w:p>
    <w:p w:rsidR="00833007" w:rsidRDefault="00833007" w:rsidP="00833007">
      <w:pPr>
        <w:spacing w:line="240" w:lineRule="atLeast"/>
        <w:jc w:val="both"/>
        <w:rPr>
          <w:rFonts w:cs="Times New Roman"/>
          <w:sz w:val="25"/>
          <w:szCs w:val="25"/>
        </w:rPr>
      </w:pPr>
      <w:r w:rsidRPr="00833007">
        <w:rPr>
          <w:rFonts w:cs="Times New Roman"/>
          <w:sz w:val="25"/>
          <w:szCs w:val="25"/>
        </w:rPr>
        <w:t>Παρατείνεται για 3 μήνες, δηλαδή μέχρι 30 Ιουνίου, το έως και τις 30-6-2021 το πρόγραμμα ΣΥΝ-ΕΡΓΑΣΙΑ.  Στο πλαίσιό του, παρατείνεται και η καταβολή σε ποσοστό 100% από τον κρατικό προϋπολογισμό, του συνόλου των ασφαλιστικών εισφορών, που αντιστοιχούν στον χρόνο κατά τον οποίο οι εργαζόμενοι που εντάσσονται στο πρόγραμμα, δεν απασχολούνται.</w:t>
      </w:r>
    </w:p>
    <w:p w:rsidR="0026385C" w:rsidRDefault="0026385C" w:rsidP="00833007">
      <w:pPr>
        <w:spacing w:line="240" w:lineRule="atLeast"/>
        <w:jc w:val="both"/>
        <w:rPr>
          <w:rFonts w:cs="Times New Roman"/>
          <w:sz w:val="25"/>
          <w:szCs w:val="25"/>
        </w:rPr>
      </w:pPr>
    </w:p>
    <w:p w:rsidR="0026385C" w:rsidRPr="00833007" w:rsidRDefault="0026385C" w:rsidP="00833007">
      <w:pPr>
        <w:spacing w:line="240" w:lineRule="atLeast"/>
        <w:jc w:val="both"/>
        <w:rPr>
          <w:rFonts w:cs="Times New Roman"/>
          <w:sz w:val="25"/>
          <w:szCs w:val="25"/>
        </w:rPr>
      </w:pPr>
    </w:p>
    <w:p w:rsidR="00833007" w:rsidRPr="00833007" w:rsidRDefault="00833007" w:rsidP="00A90408">
      <w:pPr>
        <w:spacing w:before="120" w:line="240" w:lineRule="atLeast"/>
        <w:jc w:val="both"/>
        <w:rPr>
          <w:rFonts w:cs="Times New Roman"/>
          <w:b/>
          <w:sz w:val="25"/>
          <w:szCs w:val="25"/>
          <w:u w:val="single"/>
        </w:rPr>
      </w:pPr>
      <w:r w:rsidRPr="00833007">
        <w:rPr>
          <w:rFonts w:cs="Times New Roman"/>
          <w:b/>
          <w:sz w:val="25"/>
          <w:szCs w:val="25"/>
          <w:u w:val="single"/>
        </w:rPr>
        <w:lastRenderedPageBreak/>
        <w:t>Άρθρο 111 – Παράταση επαγγελματικών μισθώσεων</w:t>
      </w:r>
    </w:p>
    <w:p w:rsidR="00833007" w:rsidRPr="00833007" w:rsidRDefault="00833007" w:rsidP="00833007">
      <w:pPr>
        <w:spacing w:line="240" w:lineRule="atLeast"/>
        <w:jc w:val="both"/>
        <w:rPr>
          <w:rFonts w:cs="Times New Roman"/>
          <w:sz w:val="25"/>
          <w:szCs w:val="25"/>
        </w:rPr>
      </w:pPr>
      <w:r w:rsidRPr="00833007">
        <w:rPr>
          <w:rFonts w:cs="Times New Roman"/>
          <w:sz w:val="25"/>
          <w:szCs w:val="25"/>
        </w:rPr>
        <w:t xml:space="preserve">Παρατείνεται για διάστημα ίσο με την διάρκεια του κλεισίματος που τους επιβλήθηκε με κρατική εντολή, η διάρκεια των επαγγελματικών μισθώσεων των επιχειρήσεων. Η παράταση εφαρμόζεται αναδρομικά από τις 14-3-2020 και μετά και αφορά τις ενεργές μισθώσεις και τις μισθώσεις που έληξαν μετά από τις 7-11-2020 και μέχρι τις 31-3-2021. </w:t>
      </w:r>
    </w:p>
    <w:p w:rsidR="00833007" w:rsidRPr="00833007" w:rsidRDefault="00833007" w:rsidP="00A90408">
      <w:pPr>
        <w:spacing w:before="120" w:line="240" w:lineRule="atLeast"/>
        <w:jc w:val="both"/>
        <w:rPr>
          <w:rFonts w:cs="Times New Roman"/>
          <w:sz w:val="25"/>
          <w:szCs w:val="25"/>
        </w:rPr>
      </w:pPr>
      <w:r w:rsidRPr="00833007">
        <w:rPr>
          <w:rFonts w:cs="Times New Roman"/>
          <w:sz w:val="25"/>
          <w:szCs w:val="25"/>
        </w:rPr>
        <w:t>Παραμένουμε στην διάθεσή σας για οποιαδήποτε περαιτέρω πληροφόρηση ή διευκρίνιση.</w:t>
      </w:r>
    </w:p>
    <w:p w:rsidR="00833007" w:rsidRPr="00833007" w:rsidRDefault="00833007" w:rsidP="00833007">
      <w:pPr>
        <w:spacing w:line="240" w:lineRule="atLeast"/>
        <w:jc w:val="both"/>
        <w:rPr>
          <w:rFonts w:cs="Times New Roman"/>
          <w:sz w:val="25"/>
          <w:szCs w:val="25"/>
        </w:rPr>
      </w:pPr>
    </w:p>
    <w:p w:rsidR="00833007" w:rsidRPr="00833007" w:rsidRDefault="00833007" w:rsidP="00833007">
      <w:pPr>
        <w:spacing w:line="240" w:lineRule="atLeast"/>
        <w:jc w:val="both"/>
        <w:rPr>
          <w:rFonts w:cs="Times New Roman"/>
          <w:sz w:val="25"/>
          <w:szCs w:val="25"/>
        </w:rPr>
      </w:pPr>
      <w:r w:rsidRPr="00833007">
        <w:rPr>
          <w:rFonts w:cs="Times New Roman"/>
          <w:b/>
          <w:sz w:val="25"/>
          <w:szCs w:val="25"/>
        </w:rPr>
        <w:tab/>
      </w:r>
      <w:r w:rsidRPr="00833007">
        <w:rPr>
          <w:rFonts w:cs="Times New Roman"/>
          <w:b/>
          <w:sz w:val="25"/>
          <w:szCs w:val="25"/>
        </w:rPr>
        <w:tab/>
      </w:r>
      <w:r w:rsidRPr="00833007">
        <w:rPr>
          <w:rFonts w:cs="Times New Roman"/>
          <w:b/>
          <w:sz w:val="25"/>
          <w:szCs w:val="25"/>
        </w:rPr>
        <w:tab/>
      </w:r>
      <w:r w:rsidRPr="00833007">
        <w:rPr>
          <w:rFonts w:cs="Times New Roman"/>
          <w:b/>
          <w:sz w:val="25"/>
          <w:szCs w:val="25"/>
        </w:rPr>
        <w:tab/>
      </w:r>
      <w:r w:rsidRPr="00833007">
        <w:rPr>
          <w:rFonts w:cs="Times New Roman"/>
          <w:b/>
          <w:sz w:val="25"/>
          <w:szCs w:val="25"/>
        </w:rPr>
        <w:tab/>
      </w:r>
      <w:r w:rsidRPr="00833007">
        <w:rPr>
          <w:rFonts w:cs="Times New Roman"/>
          <w:b/>
          <w:sz w:val="25"/>
          <w:szCs w:val="25"/>
        </w:rPr>
        <w:tab/>
        <w:t xml:space="preserve"> </w:t>
      </w:r>
    </w:p>
    <w:p w:rsidR="003272E2" w:rsidRPr="003272E2" w:rsidRDefault="003272E2" w:rsidP="003272E2">
      <w:pPr>
        <w:spacing w:line="240" w:lineRule="auto"/>
        <w:ind w:left="3600"/>
        <w:jc w:val="center"/>
        <w:rPr>
          <w:b/>
          <w:sz w:val="24"/>
          <w:szCs w:val="24"/>
        </w:rPr>
      </w:pPr>
      <w:r w:rsidRPr="003272E2">
        <w:rPr>
          <w:b/>
          <w:sz w:val="24"/>
          <w:szCs w:val="24"/>
        </w:rPr>
        <w:t>Με εκτίμηση,</w:t>
      </w:r>
    </w:p>
    <w:p w:rsidR="003272E2" w:rsidRPr="003272E2" w:rsidRDefault="003272E2" w:rsidP="003272E2">
      <w:pPr>
        <w:spacing w:line="240" w:lineRule="auto"/>
        <w:ind w:left="3600"/>
        <w:jc w:val="center"/>
        <w:rPr>
          <w:b/>
          <w:sz w:val="24"/>
          <w:szCs w:val="24"/>
        </w:rPr>
      </w:pPr>
      <w:r w:rsidRPr="003272E2">
        <w:rPr>
          <w:b/>
          <w:sz w:val="24"/>
          <w:szCs w:val="24"/>
        </w:rPr>
        <w:t xml:space="preserve">Αντώνης </w:t>
      </w:r>
      <w:proofErr w:type="spellStart"/>
      <w:r w:rsidRPr="003272E2">
        <w:rPr>
          <w:b/>
          <w:sz w:val="24"/>
          <w:szCs w:val="24"/>
        </w:rPr>
        <w:t>Μέγγουλης</w:t>
      </w:r>
      <w:proofErr w:type="spellEnd"/>
    </w:p>
    <w:p w:rsidR="003272E2" w:rsidRPr="003272E2" w:rsidRDefault="003272E2" w:rsidP="003272E2">
      <w:pPr>
        <w:spacing w:line="240" w:lineRule="auto"/>
        <w:ind w:left="3600"/>
        <w:jc w:val="center"/>
        <w:rPr>
          <w:rFonts w:cs="Times New Roman"/>
          <w:sz w:val="24"/>
          <w:szCs w:val="24"/>
        </w:rPr>
      </w:pPr>
      <w:r w:rsidRPr="003272E2">
        <w:rPr>
          <w:b/>
          <w:sz w:val="24"/>
          <w:szCs w:val="24"/>
        </w:rPr>
        <w:t>Διευθυντής &amp; Νομικός Σύμβουλος ΕΣΕΕ</w:t>
      </w:r>
      <w:r w:rsidRPr="003272E2">
        <w:rPr>
          <w:rFonts w:eastAsia="Times New Roman" w:cs="Times New Roman"/>
          <w:sz w:val="24"/>
          <w:szCs w:val="24"/>
          <w:lang w:eastAsia="el-GR"/>
        </w:rPr>
        <w:tab/>
      </w:r>
      <w:r w:rsidRPr="003272E2">
        <w:rPr>
          <w:rFonts w:eastAsia="Times New Roman" w:cs="Times New Roman"/>
          <w:sz w:val="24"/>
          <w:szCs w:val="24"/>
          <w:lang w:eastAsia="el-GR"/>
        </w:rPr>
        <w:tab/>
      </w:r>
      <w:r w:rsidRPr="003272E2">
        <w:rPr>
          <w:rFonts w:eastAsia="Times New Roman" w:cs="Times New Roman"/>
          <w:sz w:val="24"/>
          <w:szCs w:val="24"/>
          <w:lang w:eastAsia="el-GR"/>
        </w:rPr>
        <w:tab/>
      </w:r>
      <w:r w:rsidRPr="003272E2">
        <w:rPr>
          <w:rFonts w:eastAsia="Times New Roman" w:cs="Times New Roman"/>
          <w:sz w:val="24"/>
          <w:szCs w:val="24"/>
          <w:lang w:eastAsia="el-GR"/>
        </w:rPr>
        <w:tab/>
      </w:r>
    </w:p>
    <w:p w:rsidR="004259DD" w:rsidRDefault="004259DD" w:rsidP="00D235AC">
      <w:pPr>
        <w:spacing w:line="240" w:lineRule="auto"/>
        <w:ind w:left="5040"/>
      </w:pPr>
    </w:p>
    <w:p w:rsidR="004259DD" w:rsidRDefault="004259DD" w:rsidP="00D235AC">
      <w:pPr>
        <w:spacing w:line="240" w:lineRule="auto"/>
        <w:ind w:left="5040"/>
      </w:pPr>
    </w:p>
    <w:sectPr w:rsidR="004259DD" w:rsidSect="00930EEF">
      <w:footerReference w:type="default" r:id="rId8"/>
      <w:pgSz w:w="11906" w:h="16838"/>
      <w:pgMar w:top="993"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F3F" w:rsidRDefault="002D2F3F" w:rsidP="00930EEF">
      <w:pPr>
        <w:spacing w:line="240" w:lineRule="auto"/>
      </w:pPr>
      <w:r>
        <w:separator/>
      </w:r>
    </w:p>
  </w:endnote>
  <w:endnote w:type="continuationSeparator" w:id="0">
    <w:p w:rsidR="002D2F3F" w:rsidRDefault="002D2F3F" w:rsidP="00930E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EEF" w:rsidRPr="00881E77" w:rsidRDefault="00930EEF" w:rsidP="00930EEF">
    <w:pPr>
      <w:jc w:val="center"/>
      <w:rPr>
        <w:rFonts w:asciiTheme="majorHAnsi" w:hAnsiTheme="majorHAnsi"/>
        <w:b/>
        <w:color w:val="44546A" w:themeColor="text2"/>
        <w:sz w:val="19"/>
        <w:szCs w:val="19"/>
      </w:rPr>
    </w:pPr>
    <w:r w:rsidRPr="00881E77">
      <w:rPr>
        <w:rFonts w:asciiTheme="majorHAnsi" w:hAnsiTheme="majorHAnsi" w:cs="Times New Roman"/>
        <w:b/>
        <w:color w:val="44546A" w:themeColor="text2"/>
        <w:sz w:val="19"/>
        <w:szCs w:val="19"/>
      </w:rPr>
      <w:t xml:space="preserve">Μητροπόλεως 42,  105 63 Αθήνα · </w:t>
    </w:r>
    <w:proofErr w:type="spellStart"/>
    <w:r w:rsidRPr="00881E77">
      <w:rPr>
        <w:rFonts w:asciiTheme="majorHAnsi" w:hAnsiTheme="majorHAnsi" w:cs="Times New Roman"/>
        <w:b/>
        <w:color w:val="44546A" w:themeColor="text2"/>
        <w:sz w:val="19"/>
        <w:szCs w:val="19"/>
      </w:rPr>
      <w:t>τηλ</w:t>
    </w:r>
    <w:proofErr w:type="spellEnd"/>
    <w:r w:rsidRPr="00881E77">
      <w:rPr>
        <w:rFonts w:asciiTheme="majorHAnsi" w:hAnsiTheme="majorHAnsi" w:cs="Times New Roman"/>
        <w:b/>
        <w:color w:val="44546A" w:themeColor="text2"/>
        <w:sz w:val="19"/>
        <w:szCs w:val="19"/>
      </w:rPr>
      <w:t xml:space="preserve">.: 210 3259200,  </w:t>
    </w:r>
    <w:r w:rsidRPr="00881E77">
      <w:rPr>
        <w:rFonts w:asciiTheme="majorHAnsi" w:hAnsiTheme="majorHAnsi" w:cs="Times New Roman"/>
        <w:b/>
        <w:color w:val="44546A" w:themeColor="text2"/>
        <w:sz w:val="19"/>
        <w:szCs w:val="19"/>
        <w:lang w:val="en-US"/>
      </w:rPr>
      <w:t>fax</w:t>
    </w:r>
    <w:r w:rsidRPr="00881E77">
      <w:rPr>
        <w:rFonts w:asciiTheme="majorHAnsi" w:hAnsiTheme="majorHAnsi" w:cs="Times New Roman"/>
        <w:b/>
        <w:color w:val="44546A" w:themeColor="text2"/>
        <w:sz w:val="19"/>
        <w:szCs w:val="19"/>
      </w:rPr>
      <w:t xml:space="preserve">: 210 3259209, </w:t>
    </w:r>
    <w:r w:rsidRPr="00881E77">
      <w:rPr>
        <w:rFonts w:asciiTheme="majorHAnsi" w:hAnsiTheme="majorHAnsi" w:cs="Times New Roman"/>
        <w:b/>
        <w:color w:val="44546A" w:themeColor="text2"/>
        <w:sz w:val="19"/>
        <w:szCs w:val="19"/>
        <w:lang w:val="en-US"/>
      </w:rPr>
      <w:t>email</w:t>
    </w:r>
    <w:r w:rsidRPr="00881E77">
      <w:rPr>
        <w:rFonts w:asciiTheme="majorHAnsi" w:hAnsiTheme="majorHAnsi" w:cs="Times New Roman"/>
        <w:b/>
        <w:color w:val="44546A" w:themeColor="text2"/>
        <w:sz w:val="19"/>
        <w:szCs w:val="19"/>
      </w:rPr>
      <w:t xml:space="preserve">: </w:t>
    </w:r>
    <w:r w:rsidRPr="00881E77">
      <w:rPr>
        <w:rFonts w:asciiTheme="majorHAnsi" w:hAnsiTheme="majorHAnsi" w:cs="Times New Roman"/>
        <w:b/>
        <w:color w:val="44546A" w:themeColor="text2"/>
        <w:sz w:val="19"/>
        <w:szCs w:val="19"/>
        <w:lang w:val="en-US"/>
      </w:rPr>
      <w:t>info</w:t>
    </w:r>
    <w:r w:rsidRPr="00881E77">
      <w:rPr>
        <w:rFonts w:asciiTheme="majorHAnsi" w:hAnsiTheme="majorHAnsi" w:cs="Times New Roman"/>
        <w:b/>
        <w:color w:val="44546A" w:themeColor="text2"/>
        <w:sz w:val="19"/>
        <w:szCs w:val="19"/>
      </w:rPr>
      <w:t>@</w:t>
    </w:r>
    <w:proofErr w:type="spellStart"/>
    <w:r w:rsidRPr="00881E77">
      <w:rPr>
        <w:rFonts w:asciiTheme="majorHAnsi" w:hAnsiTheme="majorHAnsi" w:cs="Times New Roman"/>
        <w:b/>
        <w:color w:val="44546A" w:themeColor="text2"/>
        <w:sz w:val="19"/>
        <w:szCs w:val="19"/>
        <w:lang w:val="en-US"/>
      </w:rPr>
      <w:t>esee</w:t>
    </w:r>
    <w:proofErr w:type="spellEnd"/>
    <w:r w:rsidRPr="00881E77">
      <w:rPr>
        <w:rFonts w:asciiTheme="majorHAnsi" w:hAnsiTheme="majorHAnsi" w:cs="Times New Roman"/>
        <w:b/>
        <w:color w:val="44546A" w:themeColor="text2"/>
        <w:sz w:val="19"/>
        <w:szCs w:val="19"/>
      </w:rPr>
      <w:t>.</w:t>
    </w:r>
    <w:r w:rsidRPr="00881E77">
      <w:rPr>
        <w:rFonts w:asciiTheme="majorHAnsi" w:hAnsiTheme="majorHAnsi" w:cs="Times New Roman"/>
        <w:b/>
        <w:color w:val="44546A" w:themeColor="text2"/>
        <w:sz w:val="19"/>
        <w:szCs w:val="19"/>
        <w:lang w:val="en-US"/>
      </w:rPr>
      <w:t>gr</w:t>
    </w:r>
  </w:p>
  <w:p w:rsidR="00930EEF" w:rsidRDefault="00930EE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F3F" w:rsidRDefault="002D2F3F" w:rsidP="00930EEF">
      <w:pPr>
        <w:spacing w:line="240" w:lineRule="auto"/>
      </w:pPr>
      <w:r>
        <w:separator/>
      </w:r>
    </w:p>
  </w:footnote>
  <w:footnote w:type="continuationSeparator" w:id="0">
    <w:p w:rsidR="002D2F3F" w:rsidRDefault="002D2F3F" w:rsidP="00930EE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924A3"/>
    <w:multiLevelType w:val="hybridMultilevel"/>
    <w:tmpl w:val="B1D61232"/>
    <w:lvl w:ilvl="0" w:tplc="C58ADFB4">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0C6327B"/>
    <w:multiLevelType w:val="hybridMultilevel"/>
    <w:tmpl w:val="7968F6D0"/>
    <w:lvl w:ilvl="0" w:tplc="4DAE7CDC">
      <w:numFmt w:val="bullet"/>
      <w:lvlText w:val="-"/>
      <w:lvlJc w:val="left"/>
      <w:pPr>
        <w:ind w:left="1500" w:hanging="360"/>
      </w:pPr>
      <w:rPr>
        <w:rFonts w:ascii="Times New Roman" w:eastAsiaTheme="minorHAnsi" w:hAnsi="Times New Roman" w:cs="Times New Roman" w:hint="default"/>
      </w:rPr>
    </w:lvl>
    <w:lvl w:ilvl="1" w:tplc="04080003" w:tentative="1">
      <w:start w:val="1"/>
      <w:numFmt w:val="bullet"/>
      <w:lvlText w:val="o"/>
      <w:lvlJc w:val="left"/>
      <w:pPr>
        <w:ind w:left="2220" w:hanging="360"/>
      </w:pPr>
      <w:rPr>
        <w:rFonts w:ascii="Courier New" w:hAnsi="Courier New" w:cs="Courier New" w:hint="default"/>
      </w:rPr>
    </w:lvl>
    <w:lvl w:ilvl="2" w:tplc="04080005" w:tentative="1">
      <w:start w:val="1"/>
      <w:numFmt w:val="bullet"/>
      <w:lvlText w:val=""/>
      <w:lvlJc w:val="left"/>
      <w:pPr>
        <w:ind w:left="2940" w:hanging="360"/>
      </w:pPr>
      <w:rPr>
        <w:rFonts w:ascii="Wingdings" w:hAnsi="Wingdings" w:hint="default"/>
      </w:rPr>
    </w:lvl>
    <w:lvl w:ilvl="3" w:tplc="04080001" w:tentative="1">
      <w:start w:val="1"/>
      <w:numFmt w:val="bullet"/>
      <w:lvlText w:val=""/>
      <w:lvlJc w:val="left"/>
      <w:pPr>
        <w:ind w:left="3660" w:hanging="360"/>
      </w:pPr>
      <w:rPr>
        <w:rFonts w:ascii="Symbol" w:hAnsi="Symbol" w:hint="default"/>
      </w:rPr>
    </w:lvl>
    <w:lvl w:ilvl="4" w:tplc="04080003" w:tentative="1">
      <w:start w:val="1"/>
      <w:numFmt w:val="bullet"/>
      <w:lvlText w:val="o"/>
      <w:lvlJc w:val="left"/>
      <w:pPr>
        <w:ind w:left="4380" w:hanging="360"/>
      </w:pPr>
      <w:rPr>
        <w:rFonts w:ascii="Courier New" w:hAnsi="Courier New" w:cs="Courier New" w:hint="default"/>
      </w:rPr>
    </w:lvl>
    <w:lvl w:ilvl="5" w:tplc="04080005" w:tentative="1">
      <w:start w:val="1"/>
      <w:numFmt w:val="bullet"/>
      <w:lvlText w:val=""/>
      <w:lvlJc w:val="left"/>
      <w:pPr>
        <w:ind w:left="5100" w:hanging="360"/>
      </w:pPr>
      <w:rPr>
        <w:rFonts w:ascii="Wingdings" w:hAnsi="Wingdings" w:hint="default"/>
      </w:rPr>
    </w:lvl>
    <w:lvl w:ilvl="6" w:tplc="04080001" w:tentative="1">
      <w:start w:val="1"/>
      <w:numFmt w:val="bullet"/>
      <w:lvlText w:val=""/>
      <w:lvlJc w:val="left"/>
      <w:pPr>
        <w:ind w:left="5820" w:hanging="360"/>
      </w:pPr>
      <w:rPr>
        <w:rFonts w:ascii="Symbol" w:hAnsi="Symbol" w:hint="default"/>
      </w:rPr>
    </w:lvl>
    <w:lvl w:ilvl="7" w:tplc="04080003" w:tentative="1">
      <w:start w:val="1"/>
      <w:numFmt w:val="bullet"/>
      <w:lvlText w:val="o"/>
      <w:lvlJc w:val="left"/>
      <w:pPr>
        <w:ind w:left="6540" w:hanging="360"/>
      </w:pPr>
      <w:rPr>
        <w:rFonts w:ascii="Courier New" w:hAnsi="Courier New" w:cs="Courier New" w:hint="default"/>
      </w:rPr>
    </w:lvl>
    <w:lvl w:ilvl="8" w:tplc="04080005" w:tentative="1">
      <w:start w:val="1"/>
      <w:numFmt w:val="bullet"/>
      <w:lvlText w:val=""/>
      <w:lvlJc w:val="left"/>
      <w:pPr>
        <w:ind w:left="7260" w:hanging="360"/>
      </w:pPr>
      <w:rPr>
        <w:rFonts w:ascii="Wingdings" w:hAnsi="Wingdings" w:hint="default"/>
      </w:rPr>
    </w:lvl>
  </w:abstractNum>
  <w:abstractNum w:abstractNumId="2" w15:restartNumberingAfterBreak="0">
    <w:nsid w:val="19B26C19"/>
    <w:multiLevelType w:val="hybridMultilevel"/>
    <w:tmpl w:val="987C7CA6"/>
    <w:lvl w:ilvl="0" w:tplc="04080001">
      <w:start w:val="1"/>
      <w:numFmt w:val="bullet"/>
      <w:lvlText w:val=""/>
      <w:lvlJc w:val="left"/>
      <w:pPr>
        <w:ind w:left="788" w:hanging="360"/>
      </w:pPr>
      <w:rPr>
        <w:rFonts w:ascii="Symbol" w:hAnsi="Symbol" w:hint="default"/>
      </w:rPr>
    </w:lvl>
    <w:lvl w:ilvl="1" w:tplc="04080003" w:tentative="1">
      <w:start w:val="1"/>
      <w:numFmt w:val="bullet"/>
      <w:lvlText w:val="o"/>
      <w:lvlJc w:val="left"/>
      <w:pPr>
        <w:ind w:left="1508" w:hanging="360"/>
      </w:pPr>
      <w:rPr>
        <w:rFonts w:ascii="Courier New" w:hAnsi="Courier New" w:cs="Courier New" w:hint="default"/>
      </w:rPr>
    </w:lvl>
    <w:lvl w:ilvl="2" w:tplc="04080005" w:tentative="1">
      <w:start w:val="1"/>
      <w:numFmt w:val="bullet"/>
      <w:lvlText w:val=""/>
      <w:lvlJc w:val="left"/>
      <w:pPr>
        <w:ind w:left="2228" w:hanging="360"/>
      </w:pPr>
      <w:rPr>
        <w:rFonts w:ascii="Wingdings" w:hAnsi="Wingdings" w:hint="default"/>
      </w:rPr>
    </w:lvl>
    <w:lvl w:ilvl="3" w:tplc="04080001" w:tentative="1">
      <w:start w:val="1"/>
      <w:numFmt w:val="bullet"/>
      <w:lvlText w:val=""/>
      <w:lvlJc w:val="left"/>
      <w:pPr>
        <w:ind w:left="2948" w:hanging="360"/>
      </w:pPr>
      <w:rPr>
        <w:rFonts w:ascii="Symbol" w:hAnsi="Symbol" w:hint="default"/>
      </w:rPr>
    </w:lvl>
    <w:lvl w:ilvl="4" w:tplc="04080003" w:tentative="1">
      <w:start w:val="1"/>
      <w:numFmt w:val="bullet"/>
      <w:lvlText w:val="o"/>
      <w:lvlJc w:val="left"/>
      <w:pPr>
        <w:ind w:left="3668" w:hanging="360"/>
      </w:pPr>
      <w:rPr>
        <w:rFonts w:ascii="Courier New" w:hAnsi="Courier New" w:cs="Courier New" w:hint="default"/>
      </w:rPr>
    </w:lvl>
    <w:lvl w:ilvl="5" w:tplc="04080005" w:tentative="1">
      <w:start w:val="1"/>
      <w:numFmt w:val="bullet"/>
      <w:lvlText w:val=""/>
      <w:lvlJc w:val="left"/>
      <w:pPr>
        <w:ind w:left="4388" w:hanging="360"/>
      </w:pPr>
      <w:rPr>
        <w:rFonts w:ascii="Wingdings" w:hAnsi="Wingdings" w:hint="default"/>
      </w:rPr>
    </w:lvl>
    <w:lvl w:ilvl="6" w:tplc="04080001" w:tentative="1">
      <w:start w:val="1"/>
      <w:numFmt w:val="bullet"/>
      <w:lvlText w:val=""/>
      <w:lvlJc w:val="left"/>
      <w:pPr>
        <w:ind w:left="5108" w:hanging="360"/>
      </w:pPr>
      <w:rPr>
        <w:rFonts w:ascii="Symbol" w:hAnsi="Symbol" w:hint="default"/>
      </w:rPr>
    </w:lvl>
    <w:lvl w:ilvl="7" w:tplc="04080003" w:tentative="1">
      <w:start w:val="1"/>
      <w:numFmt w:val="bullet"/>
      <w:lvlText w:val="o"/>
      <w:lvlJc w:val="left"/>
      <w:pPr>
        <w:ind w:left="5828" w:hanging="360"/>
      </w:pPr>
      <w:rPr>
        <w:rFonts w:ascii="Courier New" w:hAnsi="Courier New" w:cs="Courier New" w:hint="default"/>
      </w:rPr>
    </w:lvl>
    <w:lvl w:ilvl="8" w:tplc="04080005" w:tentative="1">
      <w:start w:val="1"/>
      <w:numFmt w:val="bullet"/>
      <w:lvlText w:val=""/>
      <w:lvlJc w:val="left"/>
      <w:pPr>
        <w:ind w:left="6548" w:hanging="360"/>
      </w:pPr>
      <w:rPr>
        <w:rFonts w:ascii="Wingdings" w:hAnsi="Wingdings" w:hint="default"/>
      </w:rPr>
    </w:lvl>
  </w:abstractNum>
  <w:abstractNum w:abstractNumId="3" w15:restartNumberingAfterBreak="0">
    <w:nsid w:val="2B6872ED"/>
    <w:multiLevelType w:val="hybridMultilevel"/>
    <w:tmpl w:val="2E420F00"/>
    <w:lvl w:ilvl="0" w:tplc="D3A29EC4">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3F02061"/>
    <w:multiLevelType w:val="hybridMultilevel"/>
    <w:tmpl w:val="F488C6DC"/>
    <w:lvl w:ilvl="0" w:tplc="F7BC6C5E">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4482260"/>
    <w:multiLevelType w:val="hybridMultilevel"/>
    <w:tmpl w:val="D8025C1A"/>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55DD3C93"/>
    <w:multiLevelType w:val="hybridMultilevel"/>
    <w:tmpl w:val="F698C964"/>
    <w:lvl w:ilvl="0" w:tplc="A4FE52F6">
      <w:numFmt w:val="bullet"/>
      <w:lvlText w:val="-"/>
      <w:lvlJc w:val="left"/>
      <w:pPr>
        <w:ind w:left="1080" w:hanging="360"/>
      </w:pPr>
      <w:rPr>
        <w:rFonts w:ascii="Times New Roman" w:eastAsiaTheme="minorHAnsi"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67962275"/>
    <w:multiLevelType w:val="hybridMultilevel"/>
    <w:tmpl w:val="3B1619B4"/>
    <w:lvl w:ilvl="0" w:tplc="F9B2D23E">
      <w:numFmt w:val="bullet"/>
      <w:lvlText w:val=""/>
      <w:lvlJc w:val="left"/>
      <w:pPr>
        <w:ind w:left="1050" w:hanging="69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1"/>
  </w:num>
  <w:num w:numId="5">
    <w:abstractNumId w:val="2"/>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2DF"/>
    <w:rsid w:val="001D6318"/>
    <w:rsid w:val="0026385C"/>
    <w:rsid w:val="002D2F3F"/>
    <w:rsid w:val="003272E2"/>
    <w:rsid w:val="00360D8A"/>
    <w:rsid w:val="00380614"/>
    <w:rsid w:val="003D22A4"/>
    <w:rsid w:val="004259DD"/>
    <w:rsid w:val="004D1139"/>
    <w:rsid w:val="005B22DF"/>
    <w:rsid w:val="00735100"/>
    <w:rsid w:val="00833007"/>
    <w:rsid w:val="00930EEF"/>
    <w:rsid w:val="00974C22"/>
    <w:rsid w:val="009E4BD4"/>
    <w:rsid w:val="00A449CE"/>
    <w:rsid w:val="00A90408"/>
    <w:rsid w:val="00CE25C8"/>
    <w:rsid w:val="00CF4F29"/>
    <w:rsid w:val="00D235AC"/>
    <w:rsid w:val="00D9108A"/>
    <w:rsid w:val="00E82C6E"/>
    <w:rsid w:val="00F03B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8FD47E-B38D-4BC8-AF57-02CD9E150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l-G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60D8A"/>
    <w:pPr>
      <w:spacing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360D8A"/>
    <w:rPr>
      <w:rFonts w:ascii="Segoe UI" w:hAnsi="Segoe UI" w:cs="Segoe UI"/>
      <w:sz w:val="18"/>
      <w:szCs w:val="18"/>
    </w:rPr>
  </w:style>
  <w:style w:type="paragraph" w:styleId="a4">
    <w:name w:val="List Paragraph"/>
    <w:basedOn w:val="a"/>
    <w:uiPriority w:val="34"/>
    <w:qFormat/>
    <w:rsid w:val="00D235AC"/>
    <w:pPr>
      <w:ind w:left="720"/>
      <w:contextualSpacing/>
    </w:pPr>
  </w:style>
  <w:style w:type="paragraph" w:styleId="a5">
    <w:name w:val="caption"/>
    <w:basedOn w:val="a"/>
    <w:next w:val="a"/>
    <w:qFormat/>
    <w:rsid w:val="00930EEF"/>
    <w:pPr>
      <w:spacing w:line="240" w:lineRule="auto"/>
      <w:jc w:val="center"/>
    </w:pPr>
    <w:rPr>
      <w:rFonts w:eastAsia="Times New Roman" w:cs="Times New Roman"/>
      <w:b/>
      <w:bCs/>
      <w:i/>
      <w:iCs/>
      <w:sz w:val="24"/>
      <w:szCs w:val="24"/>
      <w:lang w:eastAsia="el-GR"/>
    </w:rPr>
  </w:style>
  <w:style w:type="paragraph" w:styleId="2">
    <w:name w:val="Body Text Indent 2"/>
    <w:basedOn w:val="a"/>
    <w:link w:val="2Char"/>
    <w:rsid w:val="00930EEF"/>
    <w:pPr>
      <w:spacing w:after="120" w:line="480" w:lineRule="auto"/>
      <w:ind w:left="283"/>
    </w:pPr>
    <w:rPr>
      <w:rFonts w:eastAsia="Times New Roman" w:cs="Times New Roman"/>
      <w:sz w:val="24"/>
      <w:szCs w:val="24"/>
      <w:lang w:eastAsia="el-GR"/>
    </w:rPr>
  </w:style>
  <w:style w:type="character" w:customStyle="1" w:styleId="2Char">
    <w:name w:val="Σώμα κείμενου με εσοχή 2 Char"/>
    <w:basedOn w:val="a0"/>
    <w:link w:val="2"/>
    <w:rsid w:val="00930EEF"/>
    <w:rPr>
      <w:rFonts w:eastAsia="Times New Roman" w:cs="Times New Roman"/>
      <w:sz w:val="24"/>
      <w:szCs w:val="24"/>
      <w:lang w:eastAsia="el-GR"/>
    </w:rPr>
  </w:style>
  <w:style w:type="paragraph" w:styleId="a6">
    <w:name w:val="Body Text"/>
    <w:basedOn w:val="a"/>
    <w:link w:val="Char0"/>
    <w:rsid w:val="00930EEF"/>
    <w:pPr>
      <w:spacing w:after="120" w:line="240" w:lineRule="auto"/>
    </w:pPr>
    <w:rPr>
      <w:rFonts w:eastAsia="Times New Roman" w:cs="Times New Roman"/>
      <w:sz w:val="24"/>
      <w:szCs w:val="24"/>
      <w:lang w:eastAsia="el-GR"/>
    </w:rPr>
  </w:style>
  <w:style w:type="character" w:customStyle="1" w:styleId="Char0">
    <w:name w:val="Σώμα κειμένου Char"/>
    <w:basedOn w:val="a0"/>
    <w:link w:val="a6"/>
    <w:rsid w:val="00930EEF"/>
    <w:rPr>
      <w:rFonts w:eastAsia="Times New Roman" w:cs="Times New Roman"/>
      <w:sz w:val="24"/>
      <w:szCs w:val="24"/>
      <w:lang w:eastAsia="el-GR"/>
    </w:rPr>
  </w:style>
  <w:style w:type="paragraph" w:styleId="a7">
    <w:name w:val="header"/>
    <w:basedOn w:val="a"/>
    <w:link w:val="Char1"/>
    <w:uiPriority w:val="99"/>
    <w:unhideWhenUsed/>
    <w:rsid w:val="00930EEF"/>
    <w:pPr>
      <w:tabs>
        <w:tab w:val="center" w:pos="4153"/>
        <w:tab w:val="right" w:pos="8306"/>
      </w:tabs>
      <w:spacing w:line="240" w:lineRule="auto"/>
    </w:pPr>
  </w:style>
  <w:style w:type="character" w:customStyle="1" w:styleId="Char1">
    <w:name w:val="Κεφαλίδα Char"/>
    <w:basedOn w:val="a0"/>
    <w:link w:val="a7"/>
    <w:uiPriority w:val="99"/>
    <w:rsid w:val="00930EEF"/>
  </w:style>
  <w:style w:type="paragraph" w:styleId="a8">
    <w:name w:val="footer"/>
    <w:basedOn w:val="a"/>
    <w:link w:val="Char2"/>
    <w:uiPriority w:val="99"/>
    <w:unhideWhenUsed/>
    <w:rsid w:val="00930EEF"/>
    <w:pPr>
      <w:tabs>
        <w:tab w:val="center" w:pos="4153"/>
        <w:tab w:val="right" w:pos="8306"/>
      </w:tabs>
      <w:spacing w:line="240" w:lineRule="auto"/>
    </w:pPr>
  </w:style>
  <w:style w:type="character" w:customStyle="1" w:styleId="Char2">
    <w:name w:val="Υποσέλιδο Char"/>
    <w:basedOn w:val="a0"/>
    <w:link w:val="a8"/>
    <w:uiPriority w:val="99"/>
    <w:rsid w:val="00930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3</Pages>
  <Words>862</Words>
  <Characters>4660</Characters>
  <Application>Microsoft Office Word</Application>
  <DocSecurity>0</DocSecurity>
  <Lines>38</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Megoulis</dc:creator>
  <cp:keywords/>
  <dc:description/>
  <cp:lastModifiedBy>Konstantina Filippou</cp:lastModifiedBy>
  <cp:revision>18</cp:revision>
  <cp:lastPrinted>2020-03-13T13:10:00Z</cp:lastPrinted>
  <dcterms:created xsi:type="dcterms:W3CDTF">2020-03-13T09:45:00Z</dcterms:created>
  <dcterms:modified xsi:type="dcterms:W3CDTF">2021-04-02T12:53:00Z</dcterms:modified>
</cp:coreProperties>
</file>