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75" w:rsidRDefault="00303275" w:rsidP="00254E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4AF0">
        <w:rPr>
          <w:noProof/>
          <w:szCs w:val="26"/>
          <w:lang w:eastAsia="el-GR"/>
        </w:rPr>
        <w:drawing>
          <wp:inline distT="0" distB="0" distL="0" distR="0">
            <wp:extent cx="2736086" cy="1000125"/>
            <wp:effectExtent l="0" t="0" r="0" b="0"/>
            <wp:docPr id="1" name="Εικόνα 1" descr="C:\Users\mfondrie\AppData\Local\Microsoft\Windows\INetCache\Content.Word\ESEE_LOGO_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ondrie\AppData\Local\Microsoft\Windows\INetCache\Content.Word\ESEE_LOGO_NEW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77" cy="10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5A" w:rsidRPr="00603A11" w:rsidRDefault="00436CC7" w:rsidP="00603A11">
      <w:pPr>
        <w:spacing w:after="0" w:line="276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Αθήνα, </w:t>
      </w:r>
      <w:r w:rsidR="00C93928" w:rsidRPr="00603A11">
        <w:rPr>
          <w:rFonts w:ascii="Times New Roman" w:hAnsi="Times New Roman" w:cs="Times New Roman"/>
          <w:sz w:val="24"/>
          <w:szCs w:val="24"/>
        </w:rPr>
        <w:t>1</w:t>
      </w:r>
      <w:r w:rsidR="00097883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C93928" w:rsidRPr="00603A11">
        <w:rPr>
          <w:rFonts w:ascii="Times New Roman" w:hAnsi="Times New Roman" w:cs="Times New Roman"/>
          <w:sz w:val="24"/>
          <w:szCs w:val="24"/>
        </w:rPr>
        <w:t>Ιουνίου</w:t>
      </w:r>
      <w:r w:rsidRPr="00603A11">
        <w:rPr>
          <w:rFonts w:ascii="Times New Roman" w:hAnsi="Times New Roman" w:cs="Times New Roman"/>
          <w:sz w:val="24"/>
          <w:szCs w:val="24"/>
        </w:rPr>
        <w:t xml:space="preserve"> 2021</w:t>
      </w:r>
      <w:r w:rsidRPr="00603A11">
        <w:rPr>
          <w:rFonts w:ascii="Times New Roman" w:hAnsi="Times New Roman" w:cs="Times New Roman"/>
          <w:sz w:val="24"/>
          <w:szCs w:val="24"/>
        </w:rPr>
        <w:tab/>
      </w:r>
    </w:p>
    <w:p w:rsidR="00436CC7" w:rsidRPr="00603A11" w:rsidRDefault="00E3035A" w:rsidP="00603A11">
      <w:pPr>
        <w:spacing w:after="0" w:line="276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03A11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603A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3A11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603A11">
        <w:rPr>
          <w:rFonts w:ascii="Times New Roman" w:hAnsi="Times New Roman" w:cs="Times New Roman"/>
          <w:sz w:val="24"/>
          <w:szCs w:val="24"/>
        </w:rPr>
        <w:t>.</w:t>
      </w:r>
      <w:r w:rsidR="008C7DD9" w:rsidRPr="00603A11">
        <w:rPr>
          <w:rFonts w:ascii="Times New Roman" w:hAnsi="Times New Roman" w:cs="Times New Roman"/>
          <w:sz w:val="24"/>
          <w:szCs w:val="24"/>
        </w:rPr>
        <w:t>:</w:t>
      </w:r>
      <w:r w:rsidR="001D478B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603A11" w:rsidRPr="00603A11">
        <w:rPr>
          <w:rFonts w:ascii="Times New Roman" w:hAnsi="Times New Roman" w:cs="Times New Roman"/>
          <w:sz w:val="24"/>
          <w:szCs w:val="24"/>
        </w:rPr>
        <w:t>ΓΑ 8478</w:t>
      </w:r>
      <w:r w:rsidR="00436CC7" w:rsidRPr="00603A11">
        <w:rPr>
          <w:rFonts w:ascii="Times New Roman" w:hAnsi="Times New Roman" w:cs="Times New Roman"/>
          <w:sz w:val="24"/>
          <w:szCs w:val="24"/>
        </w:rPr>
        <w:tab/>
      </w:r>
    </w:p>
    <w:p w:rsidR="00135E49" w:rsidRPr="00603A11" w:rsidRDefault="00135E49" w:rsidP="00603A1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35A" w:rsidRPr="00603A11" w:rsidRDefault="00E3035A" w:rsidP="00603A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Προς</w:t>
      </w:r>
    </w:p>
    <w:p w:rsidR="00436CC7" w:rsidRPr="00603A11" w:rsidRDefault="00E3035A" w:rsidP="00603A11">
      <w:pPr>
        <w:pStyle w:val="aa"/>
        <w:numPr>
          <w:ilvl w:val="0"/>
          <w:numId w:val="8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Ομοσπονδίες - μέλη ΕΣΕΕ</w:t>
      </w:r>
    </w:p>
    <w:p w:rsidR="00E3035A" w:rsidRPr="00603A11" w:rsidRDefault="00E3035A" w:rsidP="00603A11">
      <w:pPr>
        <w:pStyle w:val="aa"/>
        <w:numPr>
          <w:ilvl w:val="0"/>
          <w:numId w:val="8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Εμπορικούς Συλλόγους</w:t>
      </w:r>
    </w:p>
    <w:p w:rsidR="00E3035A" w:rsidRPr="00603A11" w:rsidRDefault="00E3035A" w:rsidP="00603A11">
      <w:pPr>
        <w:pStyle w:val="aa"/>
        <w:numPr>
          <w:ilvl w:val="0"/>
          <w:numId w:val="8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Αντιπροσώπους ΕΣΕΕ</w:t>
      </w:r>
    </w:p>
    <w:p w:rsidR="006E7A65" w:rsidRPr="00603A11" w:rsidRDefault="006E7A65" w:rsidP="00603A1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3A11">
        <w:rPr>
          <w:rFonts w:ascii="Times New Roman" w:hAnsi="Times New Roman" w:cs="Times New Roman"/>
          <w:sz w:val="24"/>
          <w:szCs w:val="24"/>
          <w:u w:val="single"/>
        </w:rPr>
        <w:t>Έδρες τους</w:t>
      </w:r>
    </w:p>
    <w:p w:rsidR="00436CC7" w:rsidRPr="00603A11" w:rsidRDefault="00436CC7" w:rsidP="00603A1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36CC7" w:rsidRPr="00603A11" w:rsidRDefault="00436CC7" w:rsidP="00603A11">
      <w:pPr>
        <w:spacing w:after="0" w:line="276" w:lineRule="auto"/>
        <w:ind w:right="-4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Θέμα: </w:t>
      </w:r>
      <w:r w:rsidR="00363E33"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Αναστολή εμφάνισης και πληρωμής Επιταγών για τον μήνα </w:t>
      </w:r>
      <w:r w:rsidR="00C93928" w:rsidRPr="00603A11">
        <w:rPr>
          <w:rFonts w:ascii="Times New Roman" w:hAnsi="Times New Roman" w:cs="Times New Roman"/>
          <w:b/>
          <w:sz w:val="24"/>
          <w:szCs w:val="24"/>
          <w:u w:val="single"/>
        </w:rPr>
        <w:t>Μάιο</w:t>
      </w:r>
      <w:r w:rsidR="00363E33"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436CC7" w:rsidRPr="00603A11" w:rsidRDefault="00436CC7" w:rsidP="00603A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CC7" w:rsidRPr="00603A11" w:rsidRDefault="00436CC7" w:rsidP="00603A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3A11">
        <w:rPr>
          <w:rFonts w:ascii="Times New Roman" w:hAnsi="Times New Roman" w:cs="Times New Roman"/>
          <w:b/>
          <w:sz w:val="24"/>
          <w:szCs w:val="24"/>
        </w:rPr>
        <w:t>Κυρίες και Κύριοι,</w:t>
      </w:r>
    </w:p>
    <w:p w:rsidR="00254EE6" w:rsidRPr="00603A11" w:rsidRDefault="00254EE6" w:rsidP="00603A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6F65" w:rsidRPr="00603A11" w:rsidRDefault="002A75BB" w:rsidP="00603A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Σε συνέχεια του άρθρου </w:t>
      </w:r>
      <w:r w:rsidR="00387FF4" w:rsidRPr="00603A11">
        <w:rPr>
          <w:rFonts w:ascii="Times New Roman" w:hAnsi="Times New Roman" w:cs="Times New Roman"/>
          <w:sz w:val="24"/>
          <w:szCs w:val="24"/>
        </w:rPr>
        <w:t>270</w:t>
      </w:r>
      <w:r w:rsidRPr="00603A11">
        <w:rPr>
          <w:rFonts w:ascii="Times New Roman" w:hAnsi="Times New Roman" w:cs="Times New Roman"/>
          <w:sz w:val="24"/>
          <w:szCs w:val="24"/>
        </w:rPr>
        <w:t xml:space="preserve"> του ν. 479</w:t>
      </w:r>
      <w:r w:rsidR="00387FF4" w:rsidRPr="00603A11">
        <w:rPr>
          <w:rFonts w:ascii="Times New Roman" w:hAnsi="Times New Roman" w:cs="Times New Roman"/>
          <w:sz w:val="24"/>
          <w:szCs w:val="24"/>
        </w:rPr>
        <w:t>8</w:t>
      </w:r>
      <w:r w:rsidRPr="00603A11">
        <w:rPr>
          <w:rFonts w:ascii="Times New Roman" w:hAnsi="Times New Roman" w:cs="Times New Roman"/>
          <w:sz w:val="24"/>
          <w:szCs w:val="24"/>
        </w:rPr>
        <w:t xml:space="preserve">/2021, η </w:t>
      </w:r>
      <w:r w:rsidR="00B10C0F" w:rsidRPr="00603A11">
        <w:rPr>
          <w:rFonts w:ascii="Times New Roman" w:hAnsi="Times New Roman" w:cs="Times New Roman"/>
          <w:sz w:val="24"/>
          <w:szCs w:val="24"/>
        </w:rPr>
        <w:t xml:space="preserve">Κοινή </w:t>
      </w:r>
      <w:r w:rsidR="008C7DD9" w:rsidRPr="00603A11">
        <w:rPr>
          <w:rFonts w:ascii="Times New Roman" w:hAnsi="Times New Roman" w:cs="Times New Roman"/>
          <w:sz w:val="24"/>
          <w:szCs w:val="24"/>
        </w:rPr>
        <w:t>Υπουργική Α</w:t>
      </w:r>
      <w:r w:rsidR="007E3C20" w:rsidRPr="00603A11">
        <w:rPr>
          <w:rFonts w:ascii="Times New Roman" w:hAnsi="Times New Roman" w:cs="Times New Roman"/>
          <w:sz w:val="24"/>
          <w:szCs w:val="24"/>
        </w:rPr>
        <w:t>πόφαση Α.</w:t>
      </w:r>
      <w:r w:rsidR="00DF6F65" w:rsidRPr="00603A11">
        <w:rPr>
          <w:rFonts w:ascii="Times New Roman" w:hAnsi="Times New Roman" w:cs="Times New Roman"/>
          <w:sz w:val="24"/>
          <w:szCs w:val="24"/>
        </w:rPr>
        <w:t>1</w:t>
      </w:r>
      <w:r w:rsidR="00387FF4" w:rsidRPr="00603A11">
        <w:rPr>
          <w:rFonts w:ascii="Times New Roman" w:hAnsi="Times New Roman" w:cs="Times New Roman"/>
          <w:sz w:val="24"/>
          <w:szCs w:val="24"/>
        </w:rPr>
        <w:t>115</w:t>
      </w:r>
      <w:r w:rsidRPr="00603A11">
        <w:rPr>
          <w:rFonts w:ascii="Times New Roman" w:hAnsi="Times New Roman" w:cs="Times New Roman"/>
          <w:sz w:val="24"/>
          <w:szCs w:val="24"/>
        </w:rPr>
        <w:t>/</w:t>
      </w:r>
      <w:r w:rsidR="00387FF4" w:rsidRPr="00603A11">
        <w:rPr>
          <w:rFonts w:ascii="Times New Roman" w:hAnsi="Times New Roman" w:cs="Times New Roman"/>
          <w:sz w:val="24"/>
          <w:szCs w:val="24"/>
        </w:rPr>
        <w:t>26</w:t>
      </w:r>
      <w:r w:rsidR="007E3C20" w:rsidRPr="00603A11">
        <w:rPr>
          <w:rFonts w:ascii="Times New Roman" w:hAnsi="Times New Roman" w:cs="Times New Roman"/>
          <w:sz w:val="24"/>
          <w:szCs w:val="24"/>
        </w:rPr>
        <w:t>-</w:t>
      </w:r>
      <w:r w:rsidR="00387FF4" w:rsidRPr="00603A11">
        <w:rPr>
          <w:rFonts w:ascii="Times New Roman" w:hAnsi="Times New Roman" w:cs="Times New Roman"/>
          <w:sz w:val="24"/>
          <w:szCs w:val="24"/>
        </w:rPr>
        <w:t>5</w:t>
      </w:r>
      <w:r w:rsidR="007E3C20" w:rsidRPr="00603A11">
        <w:rPr>
          <w:rFonts w:ascii="Times New Roman" w:hAnsi="Times New Roman" w:cs="Times New Roman"/>
          <w:sz w:val="24"/>
          <w:szCs w:val="24"/>
        </w:rPr>
        <w:t>-2021(</w:t>
      </w:r>
      <w:r w:rsidR="00B31D28" w:rsidRPr="00603A11">
        <w:rPr>
          <w:rFonts w:ascii="Times New Roman" w:hAnsi="Times New Roman" w:cs="Times New Roman"/>
          <w:sz w:val="24"/>
          <w:szCs w:val="24"/>
        </w:rPr>
        <w:t xml:space="preserve">ΦΕΚ Β΄ 2196 - </w:t>
      </w:r>
      <w:r w:rsidR="00C804F2" w:rsidRPr="00603A11">
        <w:rPr>
          <w:rFonts w:ascii="Times New Roman" w:hAnsi="Times New Roman" w:cs="Times New Roman"/>
          <w:sz w:val="24"/>
          <w:szCs w:val="24"/>
        </w:rPr>
        <w:t>επισυνάπτε</w:t>
      </w:r>
      <w:r w:rsidR="007E3C20" w:rsidRPr="00603A11">
        <w:rPr>
          <w:rFonts w:ascii="Times New Roman" w:hAnsi="Times New Roman" w:cs="Times New Roman"/>
          <w:sz w:val="24"/>
          <w:szCs w:val="24"/>
        </w:rPr>
        <w:t>ται στην παρούσα)</w:t>
      </w:r>
      <w:r w:rsidRPr="00603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F65" w:rsidRPr="00603A11">
        <w:rPr>
          <w:rFonts w:ascii="Times New Roman" w:hAnsi="Times New Roman" w:cs="Times New Roman"/>
          <w:sz w:val="24"/>
          <w:szCs w:val="24"/>
        </w:rPr>
        <w:t xml:space="preserve">εξειδικεύει τους ΚΑΔ </w:t>
      </w:r>
      <w:r w:rsidRPr="00603A11">
        <w:rPr>
          <w:rFonts w:ascii="Times New Roman" w:hAnsi="Times New Roman" w:cs="Times New Roman"/>
          <w:sz w:val="24"/>
          <w:szCs w:val="24"/>
        </w:rPr>
        <w:t xml:space="preserve">των επιχειρήσεων </w:t>
      </w:r>
      <w:r w:rsidR="00DF6F65" w:rsidRPr="00603A11">
        <w:rPr>
          <w:rFonts w:ascii="Times New Roman" w:hAnsi="Times New Roman" w:cs="Times New Roman"/>
          <w:sz w:val="24"/>
          <w:szCs w:val="24"/>
        </w:rPr>
        <w:t xml:space="preserve">που δύνανται να αξιοποιήσουν το ευεργέτημα της αναστολής </w:t>
      </w:r>
      <w:r w:rsidR="00363E33" w:rsidRPr="00603A11">
        <w:rPr>
          <w:rFonts w:ascii="Times New Roman" w:hAnsi="Times New Roman" w:cs="Times New Roman"/>
          <w:sz w:val="24"/>
          <w:szCs w:val="24"/>
        </w:rPr>
        <w:t>αποπληρωμής</w:t>
      </w:r>
      <w:r w:rsidR="00DF6F65" w:rsidRPr="00603A11">
        <w:rPr>
          <w:rFonts w:ascii="Times New Roman" w:hAnsi="Times New Roman" w:cs="Times New Roman"/>
          <w:sz w:val="24"/>
          <w:szCs w:val="24"/>
        </w:rPr>
        <w:t xml:space="preserve"> των </w:t>
      </w:r>
      <w:r w:rsidR="00363E33" w:rsidRPr="00603A11">
        <w:rPr>
          <w:rFonts w:ascii="Times New Roman" w:hAnsi="Times New Roman" w:cs="Times New Roman"/>
          <w:sz w:val="24"/>
          <w:szCs w:val="24"/>
        </w:rPr>
        <w:t xml:space="preserve">επιταγών τους κατά </w:t>
      </w:r>
      <w:r w:rsidR="00387FF4" w:rsidRPr="00603A11">
        <w:rPr>
          <w:rFonts w:ascii="Times New Roman" w:hAnsi="Times New Roman" w:cs="Times New Roman"/>
          <w:sz w:val="24"/>
          <w:szCs w:val="24"/>
        </w:rPr>
        <w:t>6</w:t>
      </w:r>
      <w:r w:rsidRPr="00603A11">
        <w:rPr>
          <w:rFonts w:ascii="Times New Roman" w:hAnsi="Times New Roman" w:cs="Times New Roman"/>
          <w:sz w:val="24"/>
          <w:szCs w:val="24"/>
        </w:rPr>
        <w:t xml:space="preserve">0 </w:t>
      </w:r>
      <w:r w:rsidR="00363E33" w:rsidRPr="00603A11">
        <w:rPr>
          <w:rFonts w:ascii="Times New Roman" w:hAnsi="Times New Roman" w:cs="Times New Roman"/>
          <w:sz w:val="24"/>
          <w:szCs w:val="24"/>
        </w:rPr>
        <w:t>ημέρες</w:t>
      </w:r>
      <w:r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363E33" w:rsidRPr="00603A11">
        <w:rPr>
          <w:rFonts w:ascii="Times New Roman" w:hAnsi="Times New Roman" w:cs="Times New Roman"/>
          <w:sz w:val="24"/>
          <w:szCs w:val="24"/>
        </w:rPr>
        <w:t xml:space="preserve">για ολόκληρο τον μήνα </w:t>
      </w:r>
      <w:r w:rsidR="00387FF4" w:rsidRPr="00603A11">
        <w:rPr>
          <w:rFonts w:ascii="Times New Roman" w:hAnsi="Times New Roman" w:cs="Times New Roman"/>
          <w:sz w:val="24"/>
          <w:szCs w:val="24"/>
        </w:rPr>
        <w:t>Μάιο</w:t>
      </w:r>
      <w:r w:rsidR="00363E33" w:rsidRPr="00603A11">
        <w:rPr>
          <w:rFonts w:ascii="Times New Roman" w:hAnsi="Times New Roman" w:cs="Times New Roman"/>
          <w:sz w:val="24"/>
          <w:szCs w:val="24"/>
        </w:rPr>
        <w:t xml:space="preserve"> 2021 (</w:t>
      </w:r>
      <w:r w:rsidR="00C37010" w:rsidRPr="00603A11">
        <w:rPr>
          <w:rFonts w:ascii="Times New Roman" w:hAnsi="Times New Roman" w:cs="Times New Roman"/>
          <w:sz w:val="24"/>
          <w:szCs w:val="24"/>
        </w:rPr>
        <w:t>1- 3</w:t>
      </w:r>
      <w:r w:rsidR="00387FF4" w:rsidRPr="00603A11">
        <w:rPr>
          <w:rFonts w:ascii="Times New Roman" w:hAnsi="Times New Roman" w:cs="Times New Roman"/>
          <w:sz w:val="24"/>
          <w:szCs w:val="24"/>
        </w:rPr>
        <w:t>1</w:t>
      </w:r>
      <w:r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387FF4" w:rsidRPr="00603A11">
        <w:rPr>
          <w:rFonts w:ascii="Times New Roman" w:hAnsi="Times New Roman" w:cs="Times New Roman"/>
          <w:sz w:val="24"/>
          <w:szCs w:val="24"/>
        </w:rPr>
        <w:t>Μαΐου</w:t>
      </w:r>
      <w:r w:rsidR="00363E33" w:rsidRPr="00603A11">
        <w:rPr>
          <w:rFonts w:ascii="Times New Roman" w:hAnsi="Times New Roman" w:cs="Times New Roman"/>
          <w:sz w:val="24"/>
          <w:szCs w:val="24"/>
        </w:rPr>
        <w:t>)</w:t>
      </w:r>
      <w:r w:rsidRPr="00603A11">
        <w:rPr>
          <w:rFonts w:ascii="Times New Roman" w:hAnsi="Times New Roman" w:cs="Times New Roman"/>
          <w:sz w:val="24"/>
          <w:szCs w:val="24"/>
        </w:rPr>
        <w:t xml:space="preserve">. </w:t>
      </w:r>
      <w:r w:rsidR="000E2557" w:rsidRPr="00603A11">
        <w:rPr>
          <w:rFonts w:ascii="Times New Roman" w:hAnsi="Times New Roman" w:cs="Times New Roman"/>
          <w:sz w:val="24"/>
          <w:szCs w:val="24"/>
        </w:rPr>
        <w:t xml:space="preserve">Τούτων δοθέντων, χορηγείται παράταση εξόφλησης των συγκεκριμένων επιταγών έως </w:t>
      </w:r>
      <w:r w:rsidR="009C3624" w:rsidRPr="00603A11">
        <w:rPr>
          <w:rFonts w:ascii="Times New Roman" w:hAnsi="Times New Roman" w:cs="Times New Roman"/>
          <w:sz w:val="24"/>
          <w:szCs w:val="24"/>
        </w:rPr>
        <w:t>το αργότερο</w:t>
      </w:r>
      <w:r w:rsidR="00231730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0E2557" w:rsidRPr="00603A11">
        <w:rPr>
          <w:rFonts w:ascii="Times New Roman" w:hAnsi="Times New Roman" w:cs="Times New Roman"/>
          <w:sz w:val="24"/>
          <w:szCs w:val="24"/>
        </w:rPr>
        <w:t>τα τέλη Ιουλίου.</w:t>
      </w:r>
    </w:p>
    <w:p w:rsidR="002A75BB" w:rsidRPr="00603A11" w:rsidRDefault="002A75BB" w:rsidP="00603A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Στο πλαίσιο των διατάξεων της εν λόγω απόφασης, παρακαλούμε να λάβετε υπόψη σας τα εξής:</w:t>
      </w:r>
    </w:p>
    <w:p w:rsidR="002A75BB" w:rsidRPr="00603A11" w:rsidRDefault="002A75BB" w:rsidP="00603A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>Δικαιούχοι</w:t>
      </w:r>
      <w:r w:rsidR="007319DB"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του ευεργετήματος</w:t>
      </w: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804F2" w:rsidRPr="00603A11" w:rsidRDefault="007E3C20" w:rsidP="00603A11">
      <w:pPr>
        <w:pStyle w:val="aa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Οι κλειστές, με απόφαση του κράτους, επιχειρή</w:t>
      </w:r>
      <w:r w:rsidR="00C804F2" w:rsidRPr="00603A11">
        <w:rPr>
          <w:rFonts w:ascii="Times New Roman" w:hAnsi="Times New Roman" w:cs="Times New Roman"/>
          <w:sz w:val="24"/>
          <w:szCs w:val="24"/>
        </w:rPr>
        <w:t>σεις (Παράρτημα 1 της απόφασης).</w:t>
      </w:r>
    </w:p>
    <w:p w:rsidR="00C804F2" w:rsidRPr="00603A11" w:rsidRDefault="00B31D28" w:rsidP="00603A11">
      <w:pPr>
        <w:pStyle w:val="aa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Οι πληγείσες </w:t>
      </w:r>
      <w:r w:rsidR="007E3C20" w:rsidRPr="00603A11">
        <w:rPr>
          <w:rFonts w:ascii="Times New Roman" w:hAnsi="Times New Roman" w:cs="Times New Roman"/>
          <w:sz w:val="24"/>
          <w:szCs w:val="24"/>
        </w:rPr>
        <w:t>επιχειρήσεις</w:t>
      </w:r>
      <w:r w:rsidR="00C804F2" w:rsidRPr="00603A11">
        <w:rPr>
          <w:rFonts w:ascii="Times New Roman" w:hAnsi="Times New Roman" w:cs="Times New Roman"/>
          <w:sz w:val="24"/>
          <w:szCs w:val="24"/>
        </w:rPr>
        <w:t>,</w:t>
      </w:r>
      <w:r w:rsidR="007E3C20" w:rsidRPr="00603A11">
        <w:rPr>
          <w:rFonts w:ascii="Times New Roman" w:hAnsi="Times New Roman" w:cs="Times New Roman"/>
          <w:sz w:val="24"/>
          <w:szCs w:val="24"/>
        </w:rPr>
        <w:t xml:space="preserve"> των οποίων ο τζίρος μειώθηκε πάνω από 40% την περίοδο Οκτωβρίου - Δεκεμβρίου 2020, σε σχέση με το αντίστοιχο διάστημα του 2019 (Παράρτημα 2 της απόφασης).</w:t>
      </w:r>
    </w:p>
    <w:p w:rsidR="007E3C20" w:rsidRPr="00603A11" w:rsidRDefault="007E3C20" w:rsidP="00603A11">
      <w:pPr>
        <w:pStyle w:val="aa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603A11">
        <w:rPr>
          <w:rFonts w:ascii="Times New Roman" w:hAnsi="Times New Roman" w:cs="Times New Roman"/>
          <w:sz w:val="24"/>
          <w:szCs w:val="24"/>
        </w:rPr>
        <w:t>νεοϊδρυθείσες</w:t>
      </w:r>
      <w:proofErr w:type="spellEnd"/>
      <w:r w:rsidRPr="00603A11">
        <w:rPr>
          <w:rFonts w:ascii="Times New Roman" w:hAnsi="Times New Roman" w:cs="Times New Roman"/>
          <w:sz w:val="24"/>
          <w:szCs w:val="24"/>
        </w:rPr>
        <w:t xml:space="preserve"> επιχει</w:t>
      </w:r>
      <w:r w:rsidR="00C804F2" w:rsidRPr="00603A11">
        <w:rPr>
          <w:rFonts w:ascii="Times New Roman" w:hAnsi="Times New Roman" w:cs="Times New Roman"/>
          <w:sz w:val="24"/>
          <w:szCs w:val="24"/>
        </w:rPr>
        <w:t>ρήσεις (μετά την</w:t>
      </w:r>
      <w:r w:rsidRPr="00603A11">
        <w:rPr>
          <w:rFonts w:ascii="Times New Roman" w:hAnsi="Times New Roman" w:cs="Times New Roman"/>
          <w:sz w:val="24"/>
          <w:szCs w:val="24"/>
        </w:rPr>
        <w:t xml:space="preserve"> 1/1/2020) που εμπίπτουν στους προβλεπόμενους ΚΑΔ των παραρτημάτων 1 και 2 της απόφασης, χωρίς να ισχύει για αυτές το κριτήριο της μείωσης του τζίρου τους.</w:t>
      </w:r>
    </w:p>
    <w:p w:rsidR="005A683C" w:rsidRPr="00603A11" w:rsidRDefault="005A683C" w:rsidP="00603A11">
      <w:pPr>
        <w:pStyle w:val="Web"/>
        <w:spacing w:before="0" w:beforeAutospacing="0" w:after="0" w:afterAutospacing="0" w:line="276" w:lineRule="auto"/>
        <w:jc w:val="both"/>
        <w:rPr>
          <w:b/>
          <w:u w:val="single"/>
        </w:rPr>
      </w:pPr>
      <w:r w:rsidRPr="00603A11">
        <w:rPr>
          <w:b/>
          <w:u w:val="single"/>
        </w:rPr>
        <w:t xml:space="preserve">Ηλεκτρονική </w:t>
      </w:r>
      <w:r w:rsidR="00363E33" w:rsidRPr="00603A11">
        <w:rPr>
          <w:b/>
          <w:u w:val="single"/>
        </w:rPr>
        <w:t>μεταβίβαση</w:t>
      </w:r>
      <w:r w:rsidRPr="00603A11">
        <w:rPr>
          <w:b/>
          <w:u w:val="single"/>
        </w:rPr>
        <w:t xml:space="preserve"> Επιταγών, μέσω ΔΙΑΣ, σε τράπεζες</w:t>
      </w:r>
    </w:p>
    <w:p w:rsidR="005A683C" w:rsidRPr="00603A11" w:rsidRDefault="00E75C2A" w:rsidP="00603A11">
      <w:pPr>
        <w:pStyle w:val="aa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Κατόπιν </w:t>
      </w:r>
      <w:r w:rsidR="00363E33" w:rsidRPr="00603A11">
        <w:rPr>
          <w:rFonts w:ascii="Times New Roman" w:hAnsi="Times New Roman" w:cs="Times New Roman"/>
          <w:sz w:val="24"/>
          <w:szCs w:val="24"/>
        </w:rPr>
        <w:t>διευκρινίσεων</w:t>
      </w:r>
      <w:r w:rsidRPr="00603A11">
        <w:rPr>
          <w:rFonts w:ascii="Times New Roman" w:hAnsi="Times New Roman" w:cs="Times New Roman"/>
          <w:sz w:val="24"/>
          <w:szCs w:val="24"/>
        </w:rPr>
        <w:t xml:space="preserve"> της Ελληνικής Ένωσης Τραπεζών, οι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 επιταγές θα διαβιβάζονται ηλεκτρονικά στις τράπεζες από τους επιχειρηματίες, μέσω </w:t>
      </w:r>
      <w:r w:rsidR="00363E33" w:rsidRPr="00603A11">
        <w:rPr>
          <w:rFonts w:ascii="Times New Roman" w:hAnsi="Times New Roman" w:cs="Times New Roman"/>
          <w:sz w:val="24"/>
          <w:szCs w:val="24"/>
        </w:rPr>
        <w:t xml:space="preserve">του πληροφοριακού συστήματος </w:t>
      </w:r>
      <w:r w:rsidR="005A683C" w:rsidRPr="00603A11">
        <w:rPr>
          <w:rFonts w:ascii="Times New Roman" w:hAnsi="Times New Roman" w:cs="Times New Roman"/>
          <w:sz w:val="24"/>
          <w:szCs w:val="24"/>
        </w:rPr>
        <w:t>ΔΙΑΣ, εντός προθεσμίας 6 εργ</w:t>
      </w:r>
      <w:r w:rsidR="000E2557" w:rsidRPr="00603A11">
        <w:rPr>
          <w:rFonts w:ascii="Times New Roman" w:hAnsi="Times New Roman" w:cs="Times New Roman"/>
          <w:sz w:val="24"/>
          <w:szCs w:val="24"/>
        </w:rPr>
        <w:t xml:space="preserve">άσιμων 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ημερών και πιο συγκεκριμένα </w:t>
      </w:r>
      <w:r w:rsidR="005A683C" w:rsidRPr="00603A11">
        <w:rPr>
          <w:rFonts w:ascii="Times New Roman" w:hAnsi="Times New Roman" w:cs="Times New Roman"/>
          <w:b/>
          <w:sz w:val="24"/>
          <w:szCs w:val="24"/>
        </w:rPr>
        <w:t xml:space="preserve">από </w:t>
      </w:r>
      <w:r w:rsidR="00B31D28" w:rsidRPr="00603A11">
        <w:rPr>
          <w:rFonts w:ascii="Times New Roman" w:hAnsi="Times New Roman" w:cs="Times New Roman"/>
          <w:b/>
          <w:sz w:val="24"/>
          <w:szCs w:val="24"/>
        </w:rPr>
        <w:t>τη Δευτέρα 31</w:t>
      </w:r>
      <w:r w:rsidR="005A683C" w:rsidRPr="00603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D28" w:rsidRPr="00603A11">
        <w:rPr>
          <w:rFonts w:ascii="Times New Roman" w:hAnsi="Times New Roman" w:cs="Times New Roman"/>
          <w:b/>
          <w:sz w:val="24"/>
          <w:szCs w:val="24"/>
        </w:rPr>
        <w:t>Μαΐου</w:t>
      </w:r>
      <w:r w:rsidR="005A683C" w:rsidRPr="00603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έως και </w:t>
      </w:r>
      <w:r w:rsidR="00B31D28" w:rsidRPr="00603A11">
        <w:rPr>
          <w:rFonts w:ascii="Times New Roman" w:hAnsi="Times New Roman" w:cs="Times New Roman"/>
          <w:sz w:val="24"/>
          <w:szCs w:val="24"/>
        </w:rPr>
        <w:t>τη</w:t>
      </w:r>
      <w:r w:rsidR="00B31D28" w:rsidRPr="00603A11">
        <w:rPr>
          <w:rFonts w:ascii="Times New Roman" w:hAnsi="Times New Roman" w:cs="Times New Roman"/>
          <w:b/>
          <w:sz w:val="24"/>
          <w:szCs w:val="24"/>
        </w:rPr>
        <w:t xml:space="preserve"> Δευτέρα 7</w:t>
      </w:r>
      <w:r w:rsidR="005A683C" w:rsidRPr="00603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D28" w:rsidRPr="00603A11">
        <w:rPr>
          <w:rFonts w:ascii="Times New Roman" w:hAnsi="Times New Roman" w:cs="Times New Roman"/>
          <w:b/>
          <w:sz w:val="24"/>
          <w:szCs w:val="24"/>
        </w:rPr>
        <w:t>Ιουνίου</w:t>
      </w:r>
      <w:r w:rsidR="005A683C" w:rsidRPr="00603A1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A683C" w:rsidRPr="00603A11">
        <w:rPr>
          <w:rFonts w:ascii="Times New Roman" w:hAnsi="Times New Roman" w:cs="Times New Roman"/>
          <w:sz w:val="24"/>
          <w:szCs w:val="24"/>
        </w:rPr>
        <w:t>.  Από τ</w:t>
      </w:r>
      <w:r w:rsidR="00231730" w:rsidRPr="00603A11">
        <w:rPr>
          <w:rFonts w:ascii="Times New Roman" w:hAnsi="Times New Roman" w:cs="Times New Roman"/>
          <w:sz w:val="24"/>
          <w:szCs w:val="24"/>
        </w:rPr>
        <w:t>ην Τρίτη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B31D28" w:rsidRPr="00603A11">
        <w:rPr>
          <w:rFonts w:ascii="Times New Roman" w:hAnsi="Times New Roman" w:cs="Times New Roman"/>
          <w:sz w:val="24"/>
          <w:szCs w:val="24"/>
        </w:rPr>
        <w:t>8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B31D28" w:rsidRPr="00603A11">
        <w:rPr>
          <w:rFonts w:ascii="Times New Roman" w:hAnsi="Times New Roman" w:cs="Times New Roman"/>
          <w:sz w:val="24"/>
          <w:szCs w:val="24"/>
        </w:rPr>
        <w:t>Ιουνίου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 και μετά </w:t>
      </w:r>
      <w:r w:rsidR="00363E33" w:rsidRPr="00603A11">
        <w:rPr>
          <w:rFonts w:ascii="Times New Roman" w:hAnsi="Times New Roman" w:cs="Times New Roman"/>
          <w:sz w:val="24"/>
          <w:szCs w:val="24"/>
        </w:rPr>
        <w:t>οι επιταγές που</w:t>
      </w:r>
      <w:r w:rsidR="005A683C" w:rsidRPr="00603A11">
        <w:rPr>
          <w:rFonts w:ascii="Times New Roman" w:hAnsi="Times New Roman" w:cs="Times New Roman"/>
          <w:sz w:val="24"/>
          <w:szCs w:val="24"/>
        </w:rPr>
        <w:t xml:space="preserve"> δεν έχουν αποσταλεί εμπρόθεσμα  στις τράπεζες, θα εμφανίζονται / πληρώνονται / "σφραγίζονται" κανονικά.</w:t>
      </w:r>
    </w:p>
    <w:p w:rsidR="001A165F" w:rsidRPr="00603A11" w:rsidRDefault="00C804F2" w:rsidP="00603A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>Σφράγιση</w:t>
      </w:r>
      <w:r w:rsidR="001A165F"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επιταγών στη διάρκεια μηνός </w:t>
      </w:r>
      <w:r w:rsidR="00B31D28" w:rsidRPr="00603A11">
        <w:rPr>
          <w:rFonts w:ascii="Times New Roman" w:hAnsi="Times New Roman" w:cs="Times New Roman"/>
          <w:b/>
          <w:sz w:val="24"/>
          <w:szCs w:val="24"/>
          <w:u w:val="single"/>
        </w:rPr>
        <w:t>Μαΐου 2021</w:t>
      </w:r>
      <w:r w:rsidR="001A165F"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04FB7" w:rsidRPr="00603A11" w:rsidRDefault="00A04FB7" w:rsidP="00603A11">
      <w:pPr>
        <w:pStyle w:val="aa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lastRenderedPageBreak/>
        <w:t>Όσ</w:t>
      </w:r>
      <w:r w:rsidR="00363E33" w:rsidRPr="00603A11">
        <w:rPr>
          <w:rFonts w:ascii="Times New Roman" w:hAnsi="Times New Roman" w:cs="Times New Roman"/>
          <w:sz w:val="24"/>
          <w:szCs w:val="24"/>
        </w:rPr>
        <w:t>ες επιταγές</w:t>
      </w:r>
      <w:r w:rsidR="00C804F2" w:rsidRPr="00603A11">
        <w:rPr>
          <w:rFonts w:ascii="Times New Roman" w:hAnsi="Times New Roman" w:cs="Times New Roman"/>
          <w:sz w:val="24"/>
          <w:szCs w:val="24"/>
        </w:rPr>
        <w:t xml:space="preserve"> σφραγίστηκαν</w:t>
      </w:r>
      <w:r w:rsidR="00B31D28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Pr="00603A11">
        <w:rPr>
          <w:rFonts w:ascii="Times New Roman" w:hAnsi="Times New Roman" w:cs="Times New Roman"/>
          <w:sz w:val="24"/>
          <w:szCs w:val="24"/>
        </w:rPr>
        <w:t xml:space="preserve">έως τις </w:t>
      </w:r>
      <w:r w:rsidR="00B31D28" w:rsidRPr="00603A11">
        <w:rPr>
          <w:rFonts w:ascii="Times New Roman" w:hAnsi="Times New Roman" w:cs="Times New Roman"/>
          <w:sz w:val="24"/>
          <w:szCs w:val="24"/>
        </w:rPr>
        <w:t>26</w:t>
      </w:r>
      <w:r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B31D28" w:rsidRPr="00603A11">
        <w:rPr>
          <w:rFonts w:ascii="Times New Roman" w:hAnsi="Times New Roman" w:cs="Times New Roman"/>
          <w:sz w:val="24"/>
          <w:szCs w:val="24"/>
        </w:rPr>
        <w:t>Μαΐου</w:t>
      </w:r>
      <w:r w:rsidRPr="00603A11">
        <w:rPr>
          <w:rFonts w:ascii="Times New Roman" w:hAnsi="Times New Roman" w:cs="Times New Roman"/>
          <w:sz w:val="24"/>
          <w:szCs w:val="24"/>
        </w:rPr>
        <w:t xml:space="preserve"> 2021 (</w:t>
      </w:r>
      <w:r w:rsidR="00C804F2" w:rsidRPr="00603A11">
        <w:rPr>
          <w:rFonts w:ascii="Times New Roman" w:hAnsi="Times New Roman" w:cs="Times New Roman"/>
          <w:sz w:val="24"/>
          <w:szCs w:val="24"/>
        </w:rPr>
        <w:t>ημερομηνία δημοσίευσης της συνημμένης ΚΥΑ</w:t>
      </w:r>
      <w:r w:rsidRPr="00603A11">
        <w:rPr>
          <w:rFonts w:ascii="Times New Roman" w:hAnsi="Times New Roman" w:cs="Times New Roman"/>
          <w:sz w:val="24"/>
          <w:szCs w:val="24"/>
        </w:rPr>
        <w:t>) δεν καταχωρ</w:t>
      </w:r>
      <w:r w:rsidR="00601C83" w:rsidRPr="00603A11">
        <w:rPr>
          <w:rFonts w:ascii="Times New Roman" w:hAnsi="Times New Roman" w:cs="Times New Roman"/>
          <w:sz w:val="24"/>
          <w:szCs w:val="24"/>
        </w:rPr>
        <w:t>ούνται</w:t>
      </w:r>
      <w:r w:rsidRPr="00603A11">
        <w:rPr>
          <w:rFonts w:ascii="Times New Roman" w:hAnsi="Times New Roman" w:cs="Times New Roman"/>
          <w:sz w:val="24"/>
          <w:szCs w:val="24"/>
        </w:rPr>
        <w:t xml:space="preserve"> στα αρχεία της ΤΕΙΡΕΣΙΑΣ Α.Ε., εάν εξοφληθούν εντός 60 ημερών από τη σφράγιση ή τη λήξη τους. Για </w:t>
      </w:r>
      <w:r w:rsidR="00363E33" w:rsidRPr="00603A11">
        <w:rPr>
          <w:rFonts w:ascii="Times New Roman" w:hAnsi="Times New Roman" w:cs="Times New Roman"/>
          <w:sz w:val="24"/>
          <w:szCs w:val="24"/>
        </w:rPr>
        <w:t>τις εν λόγω επιταγές</w:t>
      </w:r>
      <w:r w:rsidRPr="00603A11">
        <w:rPr>
          <w:rFonts w:ascii="Times New Roman" w:hAnsi="Times New Roman" w:cs="Times New Roman"/>
          <w:sz w:val="24"/>
          <w:szCs w:val="24"/>
        </w:rPr>
        <w:t xml:space="preserve"> δεν ισχύει η προθεσμία των 6 ημερών και </w:t>
      </w:r>
      <w:r w:rsidR="00C804F2" w:rsidRPr="00603A11">
        <w:rPr>
          <w:rFonts w:ascii="Times New Roman" w:hAnsi="Times New Roman" w:cs="Times New Roman"/>
          <w:sz w:val="24"/>
          <w:szCs w:val="24"/>
        </w:rPr>
        <w:t>δεν αποστέλλονται στις τράπεζες</w:t>
      </w:r>
      <w:r w:rsidRPr="00603A11">
        <w:rPr>
          <w:rFonts w:ascii="Times New Roman" w:hAnsi="Times New Roman" w:cs="Times New Roman"/>
          <w:sz w:val="24"/>
          <w:szCs w:val="24"/>
        </w:rPr>
        <w:t xml:space="preserve"> μέσω της ΔΙΑΣ ΑΕ. </w:t>
      </w:r>
    </w:p>
    <w:p w:rsidR="00A04FB7" w:rsidRPr="00603A11" w:rsidRDefault="00A04FB7" w:rsidP="00603A11">
      <w:pPr>
        <w:pStyle w:val="aa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Ακόμη όμως και </w:t>
      </w:r>
      <w:r w:rsidR="00363E33" w:rsidRPr="00603A11">
        <w:rPr>
          <w:rFonts w:ascii="Times New Roman" w:hAnsi="Times New Roman" w:cs="Times New Roman"/>
          <w:sz w:val="24"/>
          <w:szCs w:val="24"/>
        </w:rPr>
        <w:t>οι επιταγές</w:t>
      </w:r>
      <w:r w:rsidR="00C804F2" w:rsidRPr="00603A11">
        <w:rPr>
          <w:rFonts w:ascii="Times New Roman" w:hAnsi="Times New Roman" w:cs="Times New Roman"/>
          <w:sz w:val="24"/>
          <w:szCs w:val="24"/>
        </w:rPr>
        <w:t xml:space="preserve"> που σφραγίστηκαν μεταξύ</w:t>
      </w:r>
      <w:r w:rsidRPr="00603A11">
        <w:rPr>
          <w:rFonts w:ascii="Times New Roman" w:hAnsi="Times New Roman" w:cs="Times New Roman"/>
          <w:sz w:val="24"/>
          <w:szCs w:val="24"/>
        </w:rPr>
        <w:t xml:space="preserve"> 2</w:t>
      </w:r>
      <w:r w:rsidR="00B31D28" w:rsidRPr="00603A11">
        <w:rPr>
          <w:rFonts w:ascii="Times New Roman" w:hAnsi="Times New Roman" w:cs="Times New Roman"/>
          <w:sz w:val="24"/>
          <w:szCs w:val="24"/>
        </w:rPr>
        <w:t>7</w:t>
      </w:r>
      <w:r w:rsidRPr="00603A11">
        <w:rPr>
          <w:rFonts w:ascii="Times New Roman" w:hAnsi="Times New Roman" w:cs="Times New Roman"/>
          <w:sz w:val="24"/>
          <w:szCs w:val="24"/>
        </w:rPr>
        <w:t xml:space="preserve"> και 2</w:t>
      </w:r>
      <w:r w:rsidR="00B31D28" w:rsidRPr="00603A11">
        <w:rPr>
          <w:rFonts w:ascii="Times New Roman" w:hAnsi="Times New Roman" w:cs="Times New Roman"/>
          <w:sz w:val="24"/>
          <w:szCs w:val="24"/>
        </w:rPr>
        <w:t>8</w:t>
      </w:r>
      <w:r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="00B31D28" w:rsidRPr="00603A11">
        <w:rPr>
          <w:rFonts w:ascii="Times New Roman" w:hAnsi="Times New Roman" w:cs="Times New Roman"/>
          <w:sz w:val="24"/>
          <w:szCs w:val="24"/>
        </w:rPr>
        <w:t>Μαΐου 2021</w:t>
      </w:r>
      <w:r w:rsidRPr="00603A11">
        <w:rPr>
          <w:rFonts w:ascii="Times New Roman" w:hAnsi="Times New Roman" w:cs="Times New Roman"/>
          <w:sz w:val="24"/>
          <w:szCs w:val="24"/>
        </w:rPr>
        <w:t xml:space="preserve"> (καταληκτική ημερομηνία διαβίβασης των ΑΦΜ των δικαιούχων από την ΑΑΔΕ στις τράπεζες) δεν καταχωρούνται στην Τειρεσίας ΑΕ. </w:t>
      </w:r>
    </w:p>
    <w:p w:rsidR="0043182B" w:rsidRPr="00603A11" w:rsidRDefault="0043182B" w:rsidP="00603A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 xml:space="preserve">Τι ισχύει για τις Επιταγές προηγούμενων μηνών: </w:t>
      </w:r>
    </w:p>
    <w:p w:rsidR="00A04FB7" w:rsidRPr="00603A11" w:rsidRDefault="00387FF4" w:rsidP="00603A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 xml:space="preserve">Εξακολουθούν να ισχύουν οι προβλέψεις της </w:t>
      </w:r>
      <w:r w:rsidR="00A04FB7" w:rsidRPr="00603A11">
        <w:rPr>
          <w:rFonts w:ascii="Times New Roman" w:hAnsi="Times New Roman" w:cs="Times New Roman"/>
          <w:sz w:val="24"/>
          <w:szCs w:val="24"/>
        </w:rPr>
        <w:t>4</w:t>
      </w:r>
      <w:r w:rsidR="00A04FB7" w:rsidRPr="00603A1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603A11">
        <w:rPr>
          <w:rFonts w:ascii="Times New Roman" w:hAnsi="Times New Roman" w:cs="Times New Roman"/>
          <w:sz w:val="24"/>
          <w:szCs w:val="24"/>
          <w:vertAlign w:val="superscript"/>
        </w:rPr>
        <w:t>ς</w:t>
      </w:r>
      <w:r w:rsidR="00A04FB7" w:rsidRPr="00603A11">
        <w:rPr>
          <w:rFonts w:ascii="Times New Roman" w:hAnsi="Times New Roman" w:cs="Times New Roman"/>
          <w:sz w:val="24"/>
          <w:szCs w:val="24"/>
        </w:rPr>
        <w:t xml:space="preserve"> και 5</w:t>
      </w:r>
      <w:r w:rsidR="00A04FB7" w:rsidRPr="00603A1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603A11">
        <w:rPr>
          <w:rFonts w:ascii="Times New Roman" w:hAnsi="Times New Roman" w:cs="Times New Roman"/>
          <w:sz w:val="24"/>
          <w:szCs w:val="24"/>
          <w:vertAlign w:val="superscript"/>
        </w:rPr>
        <w:t>ς</w:t>
      </w:r>
      <w:r w:rsidR="00A04FB7" w:rsidRPr="00603A11">
        <w:rPr>
          <w:rFonts w:ascii="Times New Roman" w:hAnsi="Times New Roman" w:cs="Times New Roman"/>
          <w:sz w:val="24"/>
          <w:szCs w:val="24"/>
        </w:rPr>
        <w:t xml:space="preserve"> </w:t>
      </w:r>
      <w:r w:rsidRPr="00603A11">
        <w:rPr>
          <w:rFonts w:ascii="Times New Roman" w:hAnsi="Times New Roman" w:cs="Times New Roman"/>
          <w:sz w:val="24"/>
          <w:szCs w:val="24"/>
        </w:rPr>
        <w:t>παραγράφου</w:t>
      </w:r>
      <w:r w:rsidR="00A04FB7" w:rsidRPr="00603A11">
        <w:rPr>
          <w:rFonts w:ascii="Times New Roman" w:hAnsi="Times New Roman" w:cs="Times New Roman"/>
          <w:sz w:val="24"/>
          <w:szCs w:val="24"/>
        </w:rPr>
        <w:t xml:space="preserve"> τ</w:t>
      </w:r>
      <w:r w:rsidRPr="00603A11">
        <w:rPr>
          <w:rFonts w:ascii="Times New Roman" w:hAnsi="Times New Roman" w:cs="Times New Roman"/>
          <w:sz w:val="24"/>
          <w:szCs w:val="24"/>
        </w:rPr>
        <w:t>ου άρθρου 270, του ν. 4798/2021</w:t>
      </w:r>
      <w:r w:rsidR="00A04FB7" w:rsidRPr="00603A11">
        <w:rPr>
          <w:rFonts w:ascii="Times New Roman" w:hAnsi="Times New Roman" w:cs="Times New Roman"/>
          <w:sz w:val="24"/>
          <w:szCs w:val="24"/>
        </w:rPr>
        <w:t xml:space="preserve">. </w:t>
      </w:r>
      <w:r w:rsidRPr="00603A11">
        <w:rPr>
          <w:rFonts w:ascii="Times New Roman" w:hAnsi="Times New Roman" w:cs="Times New Roman"/>
          <w:sz w:val="24"/>
          <w:szCs w:val="24"/>
        </w:rPr>
        <w:t>Ειδικότερα</w:t>
      </w:r>
      <w:r w:rsidR="00A04FB7" w:rsidRPr="00603A11">
        <w:rPr>
          <w:rFonts w:ascii="Times New Roman" w:hAnsi="Times New Roman" w:cs="Times New Roman"/>
          <w:sz w:val="24"/>
          <w:szCs w:val="24"/>
        </w:rPr>
        <w:t>:</w:t>
      </w:r>
    </w:p>
    <w:p w:rsidR="00254EE6" w:rsidRPr="00603A11" w:rsidRDefault="00A04FB7" w:rsidP="00603A11">
      <w:pPr>
        <w:pStyle w:val="a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Επιταγές </w:t>
      </w: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>Νοεμβρίου &amp; Δεκεμβρίου 2020</w:t>
      </w: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 (ν. 4753/2020, 4772/2021 &amp; 4790/2021):</w:t>
      </w:r>
      <w:r w:rsidRPr="00603A11">
        <w:rPr>
          <w:rFonts w:ascii="Times New Roman" w:hAnsi="Times New Roman" w:cs="Times New Roman"/>
          <w:sz w:val="24"/>
          <w:szCs w:val="24"/>
        </w:rPr>
        <w:t xml:space="preserve"> Για όσες επιταγές έχει ήδη δοθεί παράταση αποπληρωμής κατά 75 + 45 + 30 ημέρες (συνολικά 150 ημέρες), χορηγείται επιπλέον παράταση 60 ημερών. </w:t>
      </w:r>
    </w:p>
    <w:p w:rsidR="00254EE6" w:rsidRPr="00603A11" w:rsidRDefault="00A04FB7" w:rsidP="00603A11">
      <w:pPr>
        <w:pStyle w:val="a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Επιταγές </w:t>
      </w: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>Ιανουαρίου &amp; Φεβρουαρίου 2021</w:t>
      </w: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 (ν. 4772/2021 &amp; 4790/2021):</w:t>
      </w:r>
      <w:r w:rsidRPr="00603A11">
        <w:rPr>
          <w:rFonts w:ascii="Times New Roman" w:hAnsi="Times New Roman" w:cs="Times New Roman"/>
          <w:sz w:val="24"/>
          <w:szCs w:val="24"/>
        </w:rPr>
        <w:t xml:space="preserve"> Για όσες επιταγές έχει ήδη δοθεί παράταση αποπληρωμής κατά 75 + 30 ημέρες (συνολικά 105 ημέρες) χορηγείται επιπλέον παράταση 60 ημερών. </w:t>
      </w:r>
    </w:p>
    <w:p w:rsidR="00254EE6" w:rsidRPr="00603A11" w:rsidRDefault="00A04FB7" w:rsidP="00603A11">
      <w:pPr>
        <w:pStyle w:val="a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Επιταγές </w:t>
      </w: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>Μαρτίου 2021</w:t>
      </w: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 (ν. 4781/2021):</w:t>
      </w:r>
      <w:r w:rsidRPr="00603A11">
        <w:rPr>
          <w:rFonts w:ascii="Times New Roman" w:hAnsi="Times New Roman" w:cs="Times New Roman"/>
          <w:sz w:val="24"/>
          <w:szCs w:val="24"/>
        </w:rPr>
        <w:t xml:space="preserve">  Για όσες επιταγές έχει ήδη δοθεί παράταση αποπληρωμής κατά 75 ημέρες, χορηγείται επιπλέον παράταση 30 ημερών (</w:t>
      </w:r>
      <w:r w:rsidR="00995FD3" w:rsidRPr="00603A11">
        <w:rPr>
          <w:rFonts w:ascii="Times New Roman" w:hAnsi="Times New Roman" w:cs="Times New Roman"/>
          <w:sz w:val="24"/>
          <w:szCs w:val="24"/>
        </w:rPr>
        <w:t xml:space="preserve">εξόφληση </w:t>
      </w:r>
      <w:r w:rsidRPr="00603A11">
        <w:rPr>
          <w:rFonts w:ascii="Times New Roman" w:hAnsi="Times New Roman" w:cs="Times New Roman"/>
          <w:sz w:val="24"/>
          <w:szCs w:val="24"/>
        </w:rPr>
        <w:t xml:space="preserve">έως και </w:t>
      </w:r>
      <w:r w:rsidR="00995FD3" w:rsidRPr="00603A11">
        <w:rPr>
          <w:rFonts w:ascii="Times New Roman" w:hAnsi="Times New Roman" w:cs="Times New Roman"/>
          <w:sz w:val="24"/>
          <w:szCs w:val="24"/>
        </w:rPr>
        <w:t xml:space="preserve">τα </w:t>
      </w:r>
      <w:r w:rsidR="00254EE6" w:rsidRPr="00603A11">
        <w:rPr>
          <w:rFonts w:ascii="Times New Roman" w:hAnsi="Times New Roman" w:cs="Times New Roman"/>
          <w:sz w:val="24"/>
          <w:szCs w:val="24"/>
        </w:rPr>
        <w:t>μέσα Ιουλίου 2021).</w:t>
      </w:r>
    </w:p>
    <w:p w:rsidR="00254EE6" w:rsidRPr="00603A11" w:rsidRDefault="00A04FB7" w:rsidP="00603A11">
      <w:pPr>
        <w:pStyle w:val="a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Επιταγές </w:t>
      </w:r>
      <w:r w:rsidRPr="00603A11">
        <w:rPr>
          <w:rFonts w:ascii="Times New Roman" w:hAnsi="Times New Roman" w:cs="Times New Roman"/>
          <w:b/>
          <w:sz w:val="24"/>
          <w:szCs w:val="24"/>
          <w:u w:val="single"/>
        </w:rPr>
        <w:t>Απριλίου 2021</w:t>
      </w:r>
      <w:r w:rsidRPr="00603A11">
        <w:rPr>
          <w:rFonts w:ascii="Times New Roman" w:hAnsi="Times New Roman" w:cs="Times New Roman"/>
          <w:sz w:val="24"/>
          <w:szCs w:val="24"/>
          <w:u w:val="single"/>
        </w:rPr>
        <w:t xml:space="preserve"> (ν. 4790/2021):</w:t>
      </w:r>
      <w:r w:rsidRPr="00603A11">
        <w:rPr>
          <w:rFonts w:ascii="Times New Roman" w:hAnsi="Times New Roman" w:cs="Times New Roman"/>
          <w:sz w:val="24"/>
          <w:szCs w:val="24"/>
        </w:rPr>
        <w:t xml:space="preserve">  Για όσες επιταγές έχει ήδη δοθεί παράταση αποπληρωμής κατά 30 ημέρες, χορηγείται επιπλέον παράταση 60 ημερών (</w:t>
      </w:r>
      <w:r w:rsidR="00995FD3" w:rsidRPr="00603A11">
        <w:rPr>
          <w:rFonts w:ascii="Times New Roman" w:hAnsi="Times New Roman" w:cs="Times New Roman"/>
          <w:sz w:val="24"/>
          <w:szCs w:val="24"/>
        </w:rPr>
        <w:t xml:space="preserve">εξόφληση </w:t>
      </w:r>
      <w:r w:rsidRPr="00603A11">
        <w:rPr>
          <w:rFonts w:ascii="Times New Roman" w:hAnsi="Times New Roman" w:cs="Times New Roman"/>
          <w:sz w:val="24"/>
          <w:szCs w:val="24"/>
        </w:rPr>
        <w:t xml:space="preserve">έως και τα τέλη Ιουλίου 2021). </w:t>
      </w:r>
    </w:p>
    <w:p w:rsidR="00C93928" w:rsidRPr="00603A11" w:rsidRDefault="00C93928" w:rsidP="00603A11">
      <w:pPr>
        <w:pStyle w:val="a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 w:cs="Times New Roman"/>
          <w:sz w:val="24"/>
          <w:szCs w:val="24"/>
        </w:rPr>
        <w:t>Επιταγές που δεν πληρώθηκαν και σφραγίστηκαν</w:t>
      </w:r>
      <w:r w:rsidR="00387FF4" w:rsidRPr="00603A11">
        <w:rPr>
          <w:rFonts w:ascii="Times New Roman" w:hAnsi="Times New Roman" w:cs="Times New Roman"/>
          <w:sz w:val="24"/>
          <w:szCs w:val="24"/>
        </w:rPr>
        <w:t xml:space="preserve"> από την 1</w:t>
      </w:r>
      <w:r w:rsidR="00387FF4" w:rsidRPr="00603A1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387FF4" w:rsidRPr="00603A11">
        <w:rPr>
          <w:rFonts w:ascii="Times New Roman" w:hAnsi="Times New Roman" w:cs="Times New Roman"/>
          <w:sz w:val="24"/>
          <w:szCs w:val="24"/>
        </w:rPr>
        <w:t xml:space="preserve"> Νοεμβρίου 2020</w:t>
      </w:r>
      <w:r w:rsidRPr="00603A11">
        <w:rPr>
          <w:rFonts w:ascii="Times New Roman" w:hAnsi="Times New Roman" w:cs="Times New Roman"/>
          <w:sz w:val="24"/>
          <w:szCs w:val="24"/>
        </w:rPr>
        <w:t xml:space="preserve">, δεν καταχωρούνται στον Τειρεσία αρκεί να πληρωθούν έως </w:t>
      </w:r>
      <w:r w:rsidRPr="00603A11">
        <w:rPr>
          <w:rFonts w:ascii="Times New Roman" w:hAnsi="Times New Roman" w:cs="Times New Roman"/>
          <w:b/>
          <w:sz w:val="24"/>
          <w:szCs w:val="24"/>
        </w:rPr>
        <w:t>3</w:t>
      </w:r>
      <w:r w:rsidR="00387FF4" w:rsidRPr="00603A11">
        <w:rPr>
          <w:rFonts w:ascii="Times New Roman" w:hAnsi="Times New Roman" w:cs="Times New Roman"/>
          <w:b/>
          <w:sz w:val="24"/>
          <w:szCs w:val="24"/>
        </w:rPr>
        <w:t>1</w:t>
      </w:r>
      <w:r w:rsidRPr="00603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FF4" w:rsidRPr="00603A11">
        <w:rPr>
          <w:rFonts w:ascii="Times New Roman" w:hAnsi="Times New Roman" w:cs="Times New Roman"/>
          <w:b/>
          <w:sz w:val="24"/>
          <w:szCs w:val="24"/>
        </w:rPr>
        <w:t>Αυγούστου</w:t>
      </w:r>
      <w:r w:rsidRPr="00603A11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387FF4" w:rsidRPr="00603A11">
        <w:rPr>
          <w:rFonts w:ascii="Times New Roman" w:hAnsi="Times New Roman" w:cs="Times New Roman"/>
          <w:sz w:val="24"/>
          <w:szCs w:val="24"/>
        </w:rPr>
        <w:t xml:space="preserve"> Μέχρι τη συγκεκριμένη ημερομηνία αναστέλλεται η έκδοση διαταγ</w:t>
      </w:r>
      <w:r w:rsidR="00242AF0" w:rsidRPr="00603A11">
        <w:rPr>
          <w:rFonts w:ascii="Times New Roman" w:hAnsi="Times New Roman" w:cs="Times New Roman"/>
          <w:sz w:val="24"/>
          <w:szCs w:val="24"/>
        </w:rPr>
        <w:t>ών</w:t>
      </w:r>
      <w:r w:rsidR="00387FF4" w:rsidRPr="00603A11">
        <w:rPr>
          <w:rFonts w:ascii="Times New Roman" w:hAnsi="Times New Roman" w:cs="Times New Roman"/>
          <w:sz w:val="24"/>
          <w:szCs w:val="24"/>
        </w:rPr>
        <w:t xml:space="preserve"> πληρωμής, </w:t>
      </w:r>
      <w:r w:rsidR="00242AF0" w:rsidRPr="00603A11">
        <w:rPr>
          <w:rFonts w:ascii="Times New Roman" w:hAnsi="Times New Roman" w:cs="Times New Roman"/>
          <w:sz w:val="24"/>
          <w:szCs w:val="24"/>
        </w:rPr>
        <w:t>η</w:t>
      </w:r>
      <w:r w:rsidR="00387FF4" w:rsidRPr="00603A11">
        <w:rPr>
          <w:rFonts w:ascii="Times New Roman" w:hAnsi="Times New Roman" w:cs="Times New Roman"/>
          <w:sz w:val="24"/>
          <w:szCs w:val="24"/>
        </w:rPr>
        <w:t xml:space="preserve"> λήψη πάσης φύσεως μέτρων ή η διενέργεια πράξεων αναγκαστικής εκτέλεσης.</w:t>
      </w:r>
    </w:p>
    <w:p w:rsidR="001A165F" w:rsidRPr="00603A11" w:rsidRDefault="00265FF4" w:rsidP="00603A11">
      <w:pPr>
        <w:pStyle w:val="Web"/>
        <w:spacing w:before="0" w:beforeAutospacing="0" w:after="0" w:afterAutospacing="0" w:line="276" w:lineRule="auto"/>
        <w:jc w:val="both"/>
        <w:rPr>
          <w:b/>
          <w:u w:val="single"/>
        </w:rPr>
      </w:pPr>
      <w:r w:rsidRPr="00603A11">
        <w:rPr>
          <w:rFonts w:eastAsiaTheme="minorHAnsi"/>
          <w:lang w:eastAsia="en-US"/>
        </w:rPr>
        <w:t>Το</w:t>
      </w:r>
      <w:r w:rsidR="00C804F2" w:rsidRPr="00603A11">
        <w:rPr>
          <w:rFonts w:eastAsiaTheme="minorHAnsi"/>
          <w:lang w:eastAsia="en-US"/>
        </w:rPr>
        <w:t>νίζεται πως όσοι εκδότες</w:t>
      </w:r>
      <w:r w:rsidRPr="00603A11">
        <w:rPr>
          <w:rFonts w:eastAsiaTheme="minorHAnsi"/>
          <w:lang w:eastAsia="en-US"/>
        </w:rPr>
        <w:t xml:space="preserve"> έχουν λάβει από τις συνεργαζόμενες τρ</w:t>
      </w:r>
      <w:r w:rsidR="00A04FB7" w:rsidRPr="00603A11">
        <w:rPr>
          <w:rFonts w:eastAsiaTheme="minorHAnsi"/>
          <w:lang w:eastAsia="en-US"/>
        </w:rPr>
        <w:t>άπεζές τους την παράταση των 75</w:t>
      </w:r>
      <w:r w:rsidR="00242AF0" w:rsidRPr="00603A11">
        <w:rPr>
          <w:rFonts w:eastAsiaTheme="minorHAnsi"/>
          <w:lang w:eastAsia="en-US"/>
        </w:rPr>
        <w:t xml:space="preserve"> ή/και</w:t>
      </w:r>
      <w:r w:rsidR="00A04FB7" w:rsidRPr="00603A11">
        <w:rPr>
          <w:rFonts w:eastAsiaTheme="minorHAnsi"/>
          <w:lang w:eastAsia="en-US"/>
        </w:rPr>
        <w:t xml:space="preserve"> </w:t>
      </w:r>
      <w:r w:rsidRPr="00603A11">
        <w:rPr>
          <w:rFonts w:eastAsiaTheme="minorHAnsi"/>
          <w:lang w:eastAsia="en-US"/>
        </w:rPr>
        <w:t>45</w:t>
      </w:r>
      <w:r w:rsidR="00A04FB7" w:rsidRPr="00603A11">
        <w:rPr>
          <w:rFonts w:eastAsiaTheme="minorHAnsi"/>
          <w:lang w:eastAsia="en-US"/>
        </w:rPr>
        <w:t xml:space="preserve"> </w:t>
      </w:r>
      <w:r w:rsidR="00242AF0" w:rsidRPr="00603A11">
        <w:rPr>
          <w:rFonts w:eastAsiaTheme="minorHAnsi"/>
          <w:lang w:eastAsia="en-US"/>
        </w:rPr>
        <w:t>ή/και</w:t>
      </w:r>
      <w:r w:rsidR="00A04FB7" w:rsidRPr="00603A11">
        <w:rPr>
          <w:rFonts w:eastAsiaTheme="minorHAnsi"/>
          <w:lang w:eastAsia="en-US"/>
        </w:rPr>
        <w:t xml:space="preserve"> 30 </w:t>
      </w:r>
      <w:r w:rsidRPr="00603A11">
        <w:rPr>
          <w:rFonts w:eastAsiaTheme="minorHAnsi"/>
          <w:lang w:eastAsia="en-US"/>
        </w:rPr>
        <w:t xml:space="preserve">ημερών που περιγράφεται παραπάνω, λαμβάνουν αυτόματα </w:t>
      </w:r>
      <w:r w:rsidR="00D40C29" w:rsidRPr="00603A11">
        <w:rPr>
          <w:rFonts w:eastAsiaTheme="minorHAnsi"/>
          <w:lang w:eastAsia="en-US"/>
        </w:rPr>
        <w:t>και τη</w:t>
      </w:r>
      <w:r w:rsidR="00CD2CBB" w:rsidRPr="00603A11">
        <w:rPr>
          <w:rFonts w:eastAsiaTheme="minorHAnsi"/>
          <w:lang w:eastAsia="en-US"/>
        </w:rPr>
        <w:t xml:space="preserve"> νέα </w:t>
      </w:r>
      <w:r w:rsidR="00A04FB7" w:rsidRPr="00603A11">
        <w:rPr>
          <w:rFonts w:eastAsiaTheme="minorHAnsi"/>
          <w:lang w:eastAsia="en-US"/>
        </w:rPr>
        <w:t>αναστολή</w:t>
      </w:r>
      <w:r w:rsidR="00CD2CBB" w:rsidRPr="00603A11">
        <w:rPr>
          <w:rFonts w:eastAsiaTheme="minorHAnsi"/>
          <w:lang w:eastAsia="en-US"/>
        </w:rPr>
        <w:t xml:space="preserve"> εξόφλησης</w:t>
      </w:r>
      <w:r w:rsidRPr="00603A11">
        <w:rPr>
          <w:rFonts w:eastAsiaTheme="minorHAnsi"/>
          <w:lang w:eastAsia="en-US"/>
        </w:rPr>
        <w:t>. Ωστόσο και προς αποφυγή παρερμηνειών</w:t>
      </w:r>
      <w:r w:rsidR="002B7D3E" w:rsidRPr="00603A11">
        <w:rPr>
          <w:rFonts w:eastAsiaTheme="minorHAnsi"/>
          <w:lang w:eastAsia="en-US"/>
        </w:rPr>
        <w:t>,</w:t>
      </w:r>
      <w:r w:rsidRPr="00603A11">
        <w:rPr>
          <w:rFonts w:eastAsiaTheme="minorHAnsi"/>
          <w:lang w:eastAsia="en-US"/>
        </w:rPr>
        <w:t xml:space="preserve"> </w:t>
      </w:r>
      <w:r w:rsidR="002B7D3E" w:rsidRPr="00603A11">
        <w:rPr>
          <w:rFonts w:eastAsiaTheme="minorHAnsi"/>
          <w:lang w:eastAsia="en-US"/>
        </w:rPr>
        <w:t>συνιστούμε την</w:t>
      </w:r>
      <w:r w:rsidRPr="00603A11">
        <w:rPr>
          <w:rFonts w:eastAsiaTheme="minorHAnsi"/>
          <w:lang w:eastAsia="en-US"/>
        </w:rPr>
        <w:t xml:space="preserve"> επικοινωνία του κάθε υπόχρεου </w:t>
      </w:r>
      <w:r w:rsidR="002B7D3E" w:rsidRPr="00603A11">
        <w:rPr>
          <w:rFonts w:eastAsiaTheme="minorHAnsi"/>
          <w:lang w:eastAsia="en-US"/>
        </w:rPr>
        <w:t>με τα αρμόδια τραπεζικά στελέχη</w:t>
      </w:r>
      <w:r w:rsidR="000E2557" w:rsidRPr="00603A11">
        <w:rPr>
          <w:rFonts w:eastAsiaTheme="minorHAnsi"/>
          <w:lang w:eastAsia="en-US"/>
        </w:rPr>
        <w:t xml:space="preserve">, προκειμένου να διασφαλιστεί </w:t>
      </w:r>
      <w:proofErr w:type="spellStart"/>
      <w:r w:rsidR="000E2557" w:rsidRPr="00603A11">
        <w:rPr>
          <w:rFonts w:eastAsiaTheme="minorHAnsi"/>
          <w:lang w:eastAsia="en-US"/>
        </w:rPr>
        <w:t>οτι</w:t>
      </w:r>
      <w:proofErr w:type="spellEnd"/>
      <w:r w:rsidR="000E2557" w:rsidRPr="00603A11">
        <w:rPr>
          <w:rFonts w:eastAsiaTheme="minorHAnsi"/>
          <w:lang w:eastAsia="en-US"/>
        </w:rPr>
        <w:t xml:space="preserve"> το ΑΦΜ τους  περιλαμβάνεται στο αρχείο που διαβιβάστηκε στις τράπεζες από την ΑΑΔΕ.</w:t>
      </w:r>
    </w:p>
    <w:p w:rsidR="007319DB" w:rsidRPr="00603A11" w:rsidRDefault="007319DB" w:rsidP="00603A11">
      <w:pPr>
        <w:pStyle w:val="Web"/>
        <w:spacing w:before="0" w:beforeAutospacing="0" w:after="0" w:afterAutospacing="0" w:line="276" w:lineRule="auto"/>
        <w:jc w:val="both"/>
      </w:pPr>
      <w:r w:rsidRPr="00603A11">
        <w:t>Παραμένουμε στην διάθεσή σας για οποιαδήποτε περαιτέρω πληροφόρηση ή διευκρίνιση.</w:t>
      </w:r>
    </w:p>
    <w:p w:rsidR="002A75BB" w:rsidRPr="00603A11" w:rsidRDefault="002A75BB" w:rsidP="00603A11">
      <w:pPr>
        <w:pStyle w:val="Web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C37010" w:rsidRPr="00603A11" w:rsidRDefault="00C37010" w:rsidP="00603A11">
      <w:pPr>
        <w:spacing w:after="0" w:line="276" w:lineRule="auto"/>
        <w:ind w:left="3600"/>
        <w:jc w:val="center"/>
        <w:rPr>
          <w:rFonts w:ascii="Times New Roman" w:hAnsi="Times New Roman"/>
          <w:b/>
          <w:sz w:val="24"/>
          <w:szCs w:val="24"/>
        </w:rPr>
      </w:pPr>
      <w:r w:rsidRPr="00603A11">
        <w:rPr>
          <w:rFonts w:ascii="Times New Roman" w:hAnsi="Times New Roman"/>
          <w:b/>
          <w:sz w:val="24"/>
          <w:szCs w:val="24"/>
        </w:rPr>
        <w:t>Με εκτίμηση,</w:t>
      </w:r>
    </w:p>
    <w:p w:rsidR="00C37010" w:rsidRPr="00603A11" w:rsidRDefault="00C37010" w:rsidP="00603A11">
      <w:pPr>
        <w:spacing w:after="0" w:line="276" w:lineRule="auto"/>
        <w:ind w:left="3600"/>
        <w:jc w:val="center"/>
        <w:rPr>
          <w:rFonts w:ascii="Times New Roman" w:hAnsi="Times New Roman"/>
          <w:b/>
          <w:sz w:val="24"/>
          <w:szCs w:val="24"/>
        </w:rPr>
      </w:pPr>
      <w:r w:rsidRPr="00603A11">
        <w:rPr>
          <w:rFonts w:ascii="Times New Roman" w:hAnsi="Times New Roman"/>
          <w:b/>
          <w:sz w:val="24"/>
          <w:szCs w:val="24"/>
        </w:rPr>
        <w:t xml:space="preserve">Αντώνης </w:t>
      </w:r>
      <w:proofErr w:type="spellStart"/>
      <w:r w:rsidRPr="00603A11">
        <w:rPr>
          <w:rFonts w:ascii="Times New Roman" w:hAnsi="Times New Roman"/>
          <w:b/>
          <w:sz w:val="24"/>
          <w:szCs w:val="24"/>
        </w:rPr>
        <w:t>Μέγγουλης</w:t>
      </w:r>
      <w:proofErr w:type="spellEnd"/>
    </w:p>
    <w:p w:rsidR="00193A1E" w:rsidRPr="00603A11" w:rsidRDefault="00C37010" w:rsidP="00603A11">
      <w:pPr>
        <w:spacing w:after="0"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603A11">
        <w:rPr>
          <w:rFonts w:ascii="Times New Roman" w:hAnsi="Times New Roman"/>
          <w:b/>
          <w:sz w:val="24"/>
          <w:szCs w:val="24"/>
        </w:rPr>
        <w:t>Διευθυντής &amp; Νομικός Σύμβουλος ΕΣΕΕ</w:t>
      </w:r>
      <w:r w:rsidRPr="00603A1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03A11" w:rsidRPr="00603A11" w:rsidRDefault="00603A11">
      <w:pPr>
        <w:spacing w:after="0"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603A11" w:rsidRPr="00603A11" w:rsidRDefault="00603A11">
      <w:pPr>
        <w:spacing w:after="0"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sectPr w:rsidR="00603A11" w:rsidRPr="00603A11" w:rsidSect="00254EE6">
      <w:footerReference w:type="default" r:id="rId8"/>
      <w:pgSz w:w="11906" w:h="16838"/>
      <w:pgMar w:top="1418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897" w:rsidRDefault="004E6897" w:rsidP="00355604">
      <w:pPr>
        <w:spacing w:after="0" w:line="240" w:lineRule="auto"/>
      </w:pPr>
      <w:r>
        <w:separator/>
      </w:r>
    </w:p>
  </w:endnote>
  <w:endnote w:type="continuationSeparator" w:id="0">
    <w:p w:rsidR="004E6897" w:rsidRDefault="004E6897" w:rsidP="0035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872064"/>
      <w:docPartObj>
        <w:docPartGallery w:val="Page Numbers (Bottom of Page)"/>
        <w:docPartUnique/>
      </w:docPartObj>
    </w:sdtPr>
    <w:sdtEndPr/>
    <w:sdtContent>
      <w:p w:rsidR="0043182B" w:rsidRDefault="00FC6EE5">
        <w:pPr>
          <w:pStyle w:val="a5"/>
          <w:jc w:val="right"/>
        </w:pPr>
        <w:r>
          <w:rPr>
            <w:noProof/>
          </w:rPr>
          <w:fldChar w:fldCharType="begin"/>
        </w:r>
        <w:r w:rsidR="00DC6E1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03A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82B" w:rsidRDefault="00431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897" w:rsidRDefault="004E6897" w:rsidP="00355604">
      <w:pPr>
        <w:spacing w:after="0" w:line="240" w:lineRule="auto"/>
      </w:pPr>
      <w:r>
        <w:separator/>
      </w:r>
    </w:p>
  </w:footnote>
  <w:footnote w:type="continuationSeparator" w:id="0">
    <w:p w:rsidR="004E6897" w:rsidRDefault="004E6897" w:rsidP="0035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A00"/>
    <w:multiLevelType w:val="hybridMultilevel"/>
    <w:tmpl w:val="57EEB4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6DB"/>
    <w:multiLevelType w:val="hybridMultilevel"/>
    <w:tmpl w:val="650AC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9F4"/>
    <w:multiLevelType w:val="hybridMultilevel"/>
    <w:tmpl w:val="F7482D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4F83"/>
    <w:multiLevelType w:val="hybridMultilevel"/>
    <w:tmpl w:val="BA3AC86E"/>
    <w:lvl w:ilvl="0" w:tplc="C8AE49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783B"/>
    <w:multiLevelType w:val="hybridMultilevel"/>
    <w:tmpl w:val="9BFECCB4"/>
    <w:lvl w:ilvl="0" w:tplc="7BA842DE"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3DCA3652"/>
    <w:multiLevelType w:val="hybridMultilevel"/>
    <w:tmpl w:val="722452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312"/>
    <w:multiLevelType w:val="hybridMultilevel"/>
    <w:tmpl w:val="8B28E688"/>
    <w:lvl w:ilvl="0" w:tplc="ADF63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2052F"/>
    <w:multiLevelType w:val="hybridMultilevel"/>
    <w:tmpl w:val="23C482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F34AE"/>
    <w:multiLevelType w:val="hybridMultilevel"/>
    <w:tmpl w:val="6BAAB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411E"/>
    <w:multiLevelType w:val="hybridMultilevel"/>
    <w:tmpl w:val="CA34AE90"/>
    <w:lvl w:ilvl="0" w:tplc="0408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6E810BAF"/>
    <w:multiLevelType w:val="hybridMultilevel"/>
    <w:tmpl w:val="2AD21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65387"/>
    <w:multiLevelType w:val="hybridMultilevel"/>
    <w:tmpl w:val="34E0DD9C"/>
    <w:lvl w:ilvl="0" w:tplc="0CB61E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D8"/>
    <w:rsid w:val="00034CBE"/>
    <w:rsid w:val="0003671E"/>
    <w:rsid w:val="0005464D"/>
    <w:rsid w:val="00056EE4"/>
    <w:rsid w:val="00097883"/>
    <w:rsid w:val="000A0E09"/>
    <w:rsid w:val="000E2557"/>
    <w:rsid w:val="001255A5"/>
    <w:rsid w:val="00135E49"/>
    <w:rsid w:val="001456E2"/>
    <w:rsid w:val="0015028B"/>
    <w:rsid w:val="00180668"/>
    <w:rsid w:val="00193A1E"/>
    <w:rsid w:val="001979D8"/>
    <w:rsid w:val="001A0093"/>
    <w:rsid w:val="001A165F"/>
    <w:rsid w:val="001A4C6B"/>
    <w:rsid w:val="001D478B"/>
    <w:rsid w:val="0022207B"/>
    <w:rsid w:val="00231730"/>
    <w:rsid w:val="00242AF0"/>
    <w:rsid w:val="00254EE6"/>
    <w:rsid w:val="00265FF4"/>
    <w:rsid w:val="002704F8"/>
    <w:rsid w:val="002A1FE0"/>
    <w:rsid w:val="002A75BB"/>
    <w:rsid w:val="002B7D3E"/>
    <w:rsid w:val="002C1FBA"/>
    <w:rsid w:val="002E577B"/>
    <w:rsid w:val="002F78B8"/>
    <w:rsid w:val="00303275"/>
    <w:rsid w:val="00347538"/>
    <w:rsid w:val="00355604"/>
    <w:rsid w:val="00360D21"/>
    <w:rsid w:val="00363E33"/>
    <w:rsid w:val="0036468A"/>
    <w:rsid w:val="00387FF4"/>
    <w:rsid w:val="003C0C35"/>
    <w:rsid w:val="003C38E6"/>
    <w:rsid w:val="003F0F65"/>
    <w:rsid w:val="00401E4B"/>
    <w:rsid w:val="004047D4"/>
    <w:rsid w:val="0043182B"/>
    <w:rsid w:val="00436CC7"/>
    <w:rsid w:val="00453B76"/>
    <w:rsid w:val="0046323A"/>
    <w:rsid w:val="004E48B0"/>
    <w:rsid w:val="004E6897"/>
    <w:rsid w:val="00524071"/>
    <w:rsid w:val="00565997"/>
    <w:rsid w:val="005A683C"/>
    <w:rsid w:val="005D48DE"/>
    <w:rsid w:val="00601C83"/>
    <w:rsid w:val="00603A11"/>
    <w:rsid w:val="00650EE0"/>
    <w:rsid w:val="00667C77"/>
    <w:rsid w:val="00683207"/>
    <w:rsid w:val="006A7CBD"/>
    <w:rsid w:val="006E7A65"/>
    <w:rsid w:val="007319DB"/>
    <w:rsid w:val="00763D3B"/>
    <w:rsid w:val="00775C38"/>
    <w:rsid w:val="00786F01"/>
    <w:rsid w:val="007C721E"/>
    <w:rsid w:val="007D1A1D"/>
    <w:rsid w:val="007E0792"/>
    <w:rsid w:val="007E3C20"/>
    <w:rsid w:val="00817E7C"/>
    <w:rsid w:val="008B729E"/>
    <w:rsid w:val="008C7DD9"/>
    <w:rsid w:val="008E0D85"/>
    <w:rsid w:val="008E1B7F"/>
    <w:rsid w:val="008E21E9"/>
    <w:rsid w:val="00906DA7"/>
    <w:rsid w:val="00916CCA"/>
    <w:rsid w:val="00953E03"/>
    <w:rsid w:val="0096430E"/>
    <w:rsid w:val="00995FD3"/>
    <w:rsid w:val="009A0E47"/>
    <w:rsid w:val="009C3624"/>
    <w:rsid w:val="009F0617"/>
    <w:rsid w:val="00A04FB7"/>
    <w:rsid w:val="00A70DCB"/>
    <w:rsid w:val="00A82350"/>
    <w:rsid w:val="00AA2E46"/>
    <w:rsid w:val="00AF32DA"/>
    <w:rsid w:val="00B0609C"/>
    <w:rsid w:val="00B10C0F"/>
    <w:rsid w:val="00B14486"/>
    <w:rsid w:val="00B31D28"/>
    <w:rsid w:val="00B3792F"/>
    <w:rsid w:val="00B747D2"/>
    <w:rsid w:val="00B94E4B"/>
    <w:rsid w:val="00B95B96"/>
    <w:rsid w:val="00BA2958"/>
    <w:rsid w:val="00BC32D6"/>
    <w:rsid w:val="00BF0FD0"/>
    <w:rsid w:val="00C14CB0"/>
    <w:rsid w:val="00C228B8"/>
    <w:rsid w:val="00C24BF0"/>
    <w:rsid w:val="00C37010"/>
    <w:rsid w:val="00C43109"/>
    <w:rsid w:val="00C54C26"/>
    <w:rsid w:val="00C559F5"/>
    <w:rsid w:val="00C562DD"/>
    <w:rsid w:val="00C70690"/>
    <w:rsid w:val="00C77E4C"/>
    <w:rsid w:val="00C804F2"/>
    <w:rsid w:val="00C93928"/>
    <w:rsid w:val="00CD2CBB"/>
    <w:rsid w:val="00CE2ED3"/>
    <w:rsid w:val="00CE56D7"/>
    <w:rsid w:val="00CF4FC4"/>
    <w:rsid w:val="00D40C29"/>
    <w:rsid w:val="00D44408"/>
    <w:rsid w:val="00D578E1"/>
    <w:rsid w:val="00DC6E1C"/>
    <w:rsid w:val="00DD4D42"/>
    <w:rsid w:val="00DE5266"/>
    <w:rsid w:val="00DF6F65"/>
    <w:rsid w:val="00E05231"/>
    <w:rsid w:val="00E05DC7"/>
    <w:rsid w:val="00E3035A"/>
    <w:rsid w:val="00E3393A"/>
    <w:rsid w:val="00E75C2A"/>
    <w:rsid w:val="00EE7883"/>
    <w:rsid w:val="00EF5223"/>
    <w:rsid w:val="00F55DCE"/>
    <w:rsid w:val="00F626B6"/>
    <w:rsid w:val="00F8301D"/>
    <w:rsid w:val="00FA0717"/>
    <w:rsid w:val="00FC6EE5"/>
    <w:rsid w:val="00FE09A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09BC-7797-4407-A54B-1736BA03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79D8"/>
    <w:rPr>
      <w:b/>
      <w:bCs/>
    </w:rPr>
  </w:style>
  <w:style w:type="character" w:styleId="-">
    <w:name w:val="Hyperlink"/>
    <w:basedOn w:val="a0"/>
    <w:uiPriority w:val="99"/>
    <w:unhideWhenUsed/>
    <w:rsid w:val="001979D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55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55604"/>
  </w:style>
  <w:style w:type="paragraph" w:styleId="a5">
    <w:name w:val="footer"/>
    <w:basedOn w:val="a"/>
    <w:link w:val="Char0"/>
    <w:uiPriority w:val="99"/>
    <w:unhideWhenUsed/>
    <w:rsid w:val="00355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55604"/>
  </w:style>
  <w:style w:type="character" w:styleId="a6">
    <w:name w:val="annotation reference"/>
    <w:basedOn w:val="a0"/>
    <w:uiPriority w:val="99"/>
    <w:semiHidden/>
    <w:unhideWhenUsed/>
    <w:rsid w:val="002F78B8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F78B8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F78B8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F78B8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F78B8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F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F78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3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Georgokostas</dc:creator>
  <cp:lastModifiedBy>ΧΡΗΣΤΗΣ ΓΡΑΜ ΔΗΜΑΡΧΟΥ</cp:lastModifiedBy>
  <cp:revision>2</cp:revision>
  <dcterms:created xsi:type="dcterms:W3CDTF">2021-06-01T13:49:00Z</dcterms:created>
  <dcterms:modified xsi:type="dcterms:W3CDTF">2021-06-01T13:49:00Z</dcterms:modified>
</cp:coreProperties>
</file>